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00000"/>
          <w:sz w:val="44"/>
          <w:szCs w:val="44"/>
        </w:rPr>
      </w:pP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衢州学院废含汞试剂处置项目</w:t>
      </w:r>
    </w:p>
    <w:p>
      <w:pPr>
        <w:spacing w:line="360" w:lineRule="auto"/>
        <w:jc w:val="center"/>
        <w:rPr>
          <w:rFonts w:ascii="宋体" w:hAnsi="宋体" w:cs="宋体"/>
          <w:sz w:val="72"/>
          <w:szCs w:val="72"/>
        </w:rPr>
      </w:pPr>
      <w:r>
        <w:rPr>
          <w:rFonts w:hint="eastAsia" w:ascii="宋体" w:hAnsi="宋体" w:cs="宋体"/>
          <w:b/>
          <w:sz w:val="28"/>
          <w:szCs w:val="28"/>
        </w:rPr>
        <w:t>（化学与材料工程学院）</w:t>
      </w:r>
    </w:p>
    <w:p>
      <w:pPr>
        <w:spacing w:line="360" w:lineRule="auto"/>
        <w:jc w:val="center"/>
        <w:rPr>
          <w:rFonts w:ascii="宋体" w:hAnsi="宋体" w:cs="宋体"/>
          <w:b/>
          <w:bCs/>
          <w:sz w:val="72"/>
          <w:szCs w:val="72"/>
        </w:rPr>
      </w:pPr>
    </w:p>
    <w:p>
      <w:pPr>
        <w:spacing w:line="360" w:lineRule="auto"/>
        <w:jc w:val="center"/>
        <w:rPr>
          <w:rFonts w:ascii="宋体" w:hAnsi="宋体" w:cs="宋体"/>
          <w:b/>
          <w:bCs/>
          <w:sz w:val="72"/>
          <w:szCs w:val="72"/>
        </w:rPr>
      </w:pPr>
      <w:r>
        <w:rPr>
          <w:rFonts w:hint="eastAsia" w:ascii="宋体" w:hAnsi="宋体" w:cs="宋体"/>
          <w:b/>
          <w:bCs/>
          <w:sz w:val="72"/>
          <w:szCs w:val="72"/>
        </w:rPr>
        <w:t>公</w:t>
      </w:r>
    </w:p>
    <w:p>
      <w:pPr>
        <w:spacing w:line="360" w:lineRule="auto"/>
        <w:jc w:val="center"/>
        <w:rPr>
          <w:rFonts w:ascii="宋体" w:hAnsi="宋体" w:cs="宋体"/>
          <w:b/>
          <w:bCs/>
          <w:sz w:val="72"/>
          <w:szCs w:val="72"/>
        </w:rPr>
      </w:pPr>
      <w:r>
        <w:rPr>
          <w:rFonts w:hint="eastAsia" w:ascii="宋体" w:hAnsi="宋体" w:cs="宋体"/>
          <w:b/>
          <w:bCs/>
          <w:sz w:val="72"/>
          <w:szCs w:val="72"/>
        </w:rPr>
        <w:t>开</w:t>
      </w:r>
    </w:p>
    <w:p>
      <w:pPr>
        <w:spacing w:line="360" w:lineRule="auto"/>
        <w:jc w:val="center"/>
        <w:rPr>
          <w:rFonts w:ascii="宋体" w:hAnsi="宋体" w:cs="宋体"/>
          <w:b/>
          <w:bCs/>
          <w:sz w:val="72"/>
          <w:szCs w:val="72"/>
        </w:rPr>
      </w:pPr>
      <w:r>
        <w:rPr>
          <w:rFonts w:hint="eastAsia" w:ascii="宋体" w:hAnsi="宋体" w:cs="宋体"/>
          <w:b/>
          <w:bCs/>
          <w:sz w:val="72"/>
          <w:szCs w:val="72"/>
        </w:rPr>
        <w:t>招</w:t>
      </w:r>
    </w:p>
    <w:p>
      <w:pPr>
        <w:spacing w:line="360" w:lineRule="auto"/>
        <w:jc w:val="center"/>
        <w:rPr>
          <w:rFonts w:ascii="宋体" w:hAnsi="宋体" w:cs="宋体"/>
          <w:b/>
          <w:bCs/>
          <w:sz w:val="72"/>
          <w:szCs w:val="72"/>
        </w:rPr>
      </w:pPr>
      <w:r>
        <w:rPr>
          <w:rFonts w:hint="eastAsia" w:ascii="宋体" w:hAnsi="宋体" w:cs="宋体"/>
          <w:b/>
          <w:bCs/>
          <w:sz w:val="72"/>
          <w:szCs w:val="72"/>
        </w:rPr>
        <w:t>标</w:t>
      </w:r>
    </w:p>
    <w:p>
      <w:pPr>
        <w:spacing w:line="360" w:lineRule="auto"/>
        <w:jc w:val="center"/>
        <w:rPr>
          <w:rFonts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36"/>
          <w:szCs w:val="36"/>
        </w:rPr>
      </w:pPr>
      <w:r>
        <w:rPr>
          <w:rFonts w:hint="eastAsia" w:ascii="宋体" w:hAnsi="宋体" w:cs="宋体"/>
          <w:b/>
          <w:bCs/>
          <w:sz w:val="72"/>
          <w:szCs w:val="72"/>
        </w:rPr>
        <w:t>件</w:t>
      </w:r>
    </w:p>
    <w:p>
      <w:pPr>
        <w:spacing w:line="360" w:lineRule="auto"/>
        <w:rPr>
          <w:rFonts w:ascii="宋体" w:hAnsi="宋体" w:cs="宋体"/>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招标单位：衢州学院</w:t>
      </w:r>
    </w:p>
    <w:p>
      <w:pPr>
        <w:spacing w:line="360" w:lineRule="auto"/>
        <w:jc w:val="center"/>
        <w:rPr>
          <w:rFonts w:ascii="宋体" w:hAnsi="宋体" w:cs="宋体"/>
          <w:b/>
          <w:bCs/>
          <w:color w:val="000000" w:themeColor="text1"/>
          <w:sz w:val="36"/>
          <w:szCs w:val="36"/>
        </w:rPr>
      </w:pPr>
      <w:r>
        <w:rPr>
          <w:rFonts w:hint="eastAsia" w:ascii="宋体" w:hAnsi="宋体" w:cs="宋体"/>
          <w:b/>
          <w:bCs/>
          <w:color w:val="000000" w:themeColor="text1"/>
          <w:sz w:val="36"/>
          <w:szCs w:val="36"/>
        </w:rPr>
        <w:t>2022年9月</w:t>
      </w:r>
    </w:p>
    <w:p/>
    <w:p>
      <w:pPr>
        <w:pStyle w:val="2"/>
      </w:pPr>
    </w:p>
    <w:p/>
    <w:p>
      <w:pPr>
        <w:pStyle w:val="2"/>
      </w:pPr>
    </w:p>
    <w:p/>
    <w:p>
      <w:pPr>
        <w:pStyle w:val="2"/>
      </w:pPr>
    </w:p>
    <w:p>
      <w:pPr>
        <w:pStyle w:val="2"/>
      </w:pPr>
    </w:p>
    <w:p>
      <w:pPr>
        <w:pStyle w:val="11"/>
        <w:spacing w:line="360" w:lineRule="auto"/>
        <w:ind w:left="0" w:leftChars="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4</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16</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23</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26</w:t>
      </w:r>
    </w:p>
    <w:p>
      <w:pPr>
        <w:spacing w:line="410" w:lineRule="exact"/>
        <w:jc w:val="center"/>
        <w:rPr>
          <w:b/>
          <w:bCs/>
          <w:color w:val="000000"/>
          <w:sz w:val="32"/>
        </w:rPr>
      </w:pPr>
    </w:p>
    <w:p/>
    <w:p>
      <w:pPr>
        <w:pStyle w:val="2"/>
      </w:pPr>
    </w:p>
    <w:p/>
    <w:p>
      <w:pPr>
        <w:pStyle w:val="2"/>
      </w:pPr>
    </w:p>
    <w:p/>
    <w:p>
      <w:pPr>
        <w:pStyle w:val="2"/>
      </w:pPr>
    </w:p>
    <w:p/>
    <w:p>
      <w:pPr>
        <w:pStyle w:val="2"/>
      </w:pPr>
    </w:p>
    <w:p/>
    <w:p>
      <w:pPr>
        <w:pStyle w:val="2"/>
      </w:pPr>
    </w:p>
    <w:p/>
    <w:p>
      <w:pPr>
        <w:pStyle w:val="2"/>
      </w:pPr>
    </w:p>
    <w:p/>
    <w:p>
      <w:pPr>
        <w:spacing w:line="360" w:lineRule="auto"/>
        <w:jc w:val="center"/>
        <w:outlineLvl w:val="0"/>
        <w:rPr>
          <w:rStyle w:val="37"/>
        </w:rPr>
      </w:pPr>
      <w:bookmarkStart w:id="0" w:name="_Toc30707"/>
      <w:r>
        <w:rPr>
          <w:rStyle w:val="37"/>
          <w:rFonts w:hint="eastAsia"/>
        </w:rPr>
        <w:t>第一章 招标公告</w:t>
      </w:r>
      <w:bookmarkEnd w:id="0"/>
    </w:p>
    <w:p>
      <w:pPr>
        <w:spacing w:line="500" w:lineRule="exact"/>
        <w:ind w:firstLine="480" w:firstLineChars="200"/>
        <w:rPr>
          <w:rFonts w:ascii="宋体" w:hAnsi="宋体" w:cs="宋体"/>
          <w:sz w:val="24"/>
        </w:rPr>
      </w:pPr>
      <w:r>
        <w:rPr>
          <w:rFonts w:hint="eastAsia" w:ascii="宋体" w:hAnsi="宋体" w:cs="宋体"/>
          <w:sz w:val="24"/>
        </w:rPr>
        <w:t>根据有关规定，现就衢州学院衢州学院废含汞试剂处置项目进行公开招标。具体如下：</w:t>
      </w:r>
    </w:p>
    <w:p>
      <w:pPr>
        <w:spacing w:line="500" w:lineRule="exact"/>
        <w:ind w:firstLine="472" w:firstLineChars="196"/>
        <w:rPr>
          <w:rFonts w:ascii="宋体" w:hAnsi="宋体" w:cs="宋体"/>
          <w:b/>
          <w:sz w:val="24"/>
        </w:rPr>
      </w:pPr>
      <w:r>
        <w:rPr>
          <w:rFonts w:hint="eastAsia" w:ascii="宋体" w:hAnsi="宋体" w:cs="宋体"/>
          <w:b/>
          <w:bCs/>
          <w:kern w:val="0"/>
          <w:sz w:val="24"/>
        </w:rPr>
        <w:t>一、项目名称：</w:t>
      </w:r>
      <w:r>
        <w:rPr>
          <w:rFonts w:hint="eastAsia" w:ascii="宋体" w:hAnsi="宋体" w:cs="宋体"/>
          <w:b/>
          <w:bCs/>
          <w:sz w:val="28"/>
          <w:szCs w:val="28"/>
        </w:rPr>
        <w:t>衢州学院废含汞试剂处置项目</w:t>
      </w:r>
    </w:p>
    <w:p>
      <w:pPr>
        <w:widowControl/>
        <w:spacing w:line="500" w:lineRule="exact"/>
        <w:ind w:firstLine="472" w:firstLineChars="196"/>
        <w:jc w:val="left"/>
        <w:rPr>
          <w:rFonts w:ascii="宋体" w:hAnsi="宋体" w:cs="宋体"/>
          <w:b/>
          <w:bCs/>
          <w:kern w:val="0"/>
          <w:sz w:val="24"/>
        </w:rPr>
      </w:pPr>
      <w:r>
        <w:rPr>
          <w:rFonts w:hint="eastAsia" w:ascii="宋体" w:hAnsi="宋体" w:cs="宋体"/>
          <w:b/>
          <w:bCs/>
          <w:kern w:val="0"/>
          <w:sz w:val="24"/>
        </w:rPr>
        <w:t>二、项目编号：衢院招2022-43</w:t>
      </w:r>
    </w:p>
    <w:p>
      <w:pPr>
        <w:widowControl/>
        <w:spacing w:line="500" w:lineRule="exact"/>
        <w:ind w:firstLine="472" w:firstLineChars="196"/>
        <w:jc w:val="left"/>
      </w:pPr>
      <w:r>
        <w:rPr>
          <w:rFonts w:hint="eastAsia" w:ascii="宋体" w:hAnsi="宋体" w:cs="宋体"/>
          <w:b/>
          <w:kern w:val="0"/>
          <w:sz w:val="24"/>
        </w:rPr>
        <w:t>三、项目概况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85" w:type="dxa"/>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35" w:type="dxa"/>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938" w:type="dxa"/>
            <w:vAlign w:val="center"/>
          </w:tcPr>
          <w:p>
            <w:pPr>
              <w:widowControl/>
              <w:spacing w:line="500" w:lineRule="exact"/>
              <w:ind w:left="60" w:right="60"/>
              <w:jc w:val="center"/>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衢州学院废含汞试剂处置项目</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885" w:type="dxa"/>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批</w:t>
            </w:r>
          </w:p>
        </w:tc>
        <w:tc>
          <w:tcPr>
            <w:tcW w:w="2235" w:type="dxa"/>
            <w:vAlign w:val="center"/>
          </w:tcPr>
          <w:p>
            <w:pPr>
              <w:widowControl/>
              <w:spacing w:line="500" w:lineRule="exact"/>
              <w:jc w:val="center"/>
              <w:rPr>
                <w:rFonts w:hint="default" w:asciiTheme="majorEastAsia" w:hAnsiTheme="majorEastAsia" w:eastAsiaTheme="majorEastAsia" w:cstheme="majorEastAsia"/>
                <w:kern w:val="0"/>
                <w:sz w:val="24"/>
                <w:lang w:val="en-US" w:eastAsia="zh-CN"/>
              </w:rPr>
            </w:pPr>
            <w:bookmarkStart w:id="1" w:name="B12_简要技术要求、用途"/>
            <w:bookmarkEnd w:id="1"/>
            <w:r>
              <w:rPr>
                <w:rFonts w:hint="eastAsia" w:asciiTheme="majorEastAsia" w:hAnsiTheme="majorEastAsia" w:eastAsiaTheme="majorEastAsia" w:cstheme="majorEastAsia"/>
                <w:kern w:val="0"/>
                <w:sz w:val="24"/>
                <w:lang w:val="en-US" w:eastAsia="zh-CN"/>
              </w:rPr>
              <w:t>32.5</w:t>
            </w:r>
          </w:p>
        </w:tc>
        <w:tc>
          <w:tcPr>
            <w:tcW w:w="2938" w:type="dxa"/>
            <w:vAlign w:val="center"/>
          </w:tcPr>
          <w:p>
            <w:pPr>
              <w:widowControl/>
              <w:spacing w:line="500" w:lineRule="exact"/>
              <w:ind w:left="60" w:right="60"/>
              <w:jc w:val="center"/>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以招标文件第三章为准</w:t>
            </w:r>
          </w:p>
        </w:tc>
      </w:tr>
    </w:tbl>
    <w:p>
      <w:pPr>
        <w:widowControl/>
        <w:spacing w:line="500" w:lineRule="exact"/>
        <w:ind w:firstLine="472" w:firstLineChars="196"/>
        <w:jc w:val="left"/>
        <w:rPr>
          <w:rFonts w:ascii="宋体" w:hAnsi="宋体" w:cs="宋体"/>
          <w:b/>
          <w:color w:val="000000"/>
          <w:sz w:val="24"/>
        </w:rPr>
      </w:pPr>
      <w:r>
        <w:rPr>
          <w:rFonts w:hint="eastAsia" w:ascii="宋体" w:hAnsi="宋体" w:cs="宋体"/>
          <w:b/>
          <w:color w:val="000000"/>
          <w:sz w:val="24"/>
        </w:rPr>
        <w:t>四、投标人资格要求</w:t>
      </w:r>
    </w:p>
    <w:p>
      <w:pPr>
        <w:pStyle w:val="17"/>
        <w:spacing w:before="0" w:beforeAutospacing="0" w:after="0" w:afterAutospacing="0" w:line="360" w:lineRule="auto"/>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7"/>
        <w:spacing w:before="0" w:beforeAutospacing="0" w:after="0" w:afterAutospacing="0" w:line="360" w:lineRule="auto"/>
        <w:rPr>
          <w:rFonts w:cs="宋体"/>
          <w:color w:val="000000"/>
        </w:rPr>
      </w:pPr>
      <w:r>
        <w:rPr>
          <w:rFonts w:hint="eastAsia" w:cs="宋体"/>
          <w:color w:val="000000"/>
        </w:rPr>
        <w:t xml:space="preserve">   2.落实政府采购政策需满足的资格要求：无。   </w:t>
      </w:r>
    </w:p>
    <w:p>
      <w:pPr>
        <w:pStyle w:val="17"/>
        <w:spacing w:before="0" w:beforeAutospacing="0" w:after="0" w:afterAutospacing="0" w:line="360" w:lineRule="auto"/>
        <w:ind w:firstLine="480" w:firstLineChars="200"/>
        <w:rPr>
          <w:rFonts w:cs="宋体"/>
          <w:color w:val="000000"/>
        </w:rPr>
      </w:pPr>
      <w:r>
        <w:rPr>
          <w:rFonts w:hint="eastAsia" w:cs="宋体"/>
          <w:color w:val="000000"/>
        </w:rPr>
        <w:t>3.本项目的特定资格要求：无。 </w:t>
      </w:r>
    </w:p>
    <w:p>
      <w:pPr>
        <w:spacing w:line="500" w:lineRule="exact"/>
        <w:ind w:firstLine="482" w:firstLineChars="200"/>
        <w:rPr>
          <w:rFonts w:ascii="宋体" w:hAnsi="宋体" w:cs="宋体"/>
          <w:b/>
          <w:bCs/>
          <w:sz w:val="24"/>
        </w:rPr>
      </w:pPr>
      <w:r>
        <w:rPr>
          <w:rFonts w:hint="eastAsia" w:ascii="宋体" w:hAnsi="宋体" w:cs="宋体"/>
          <w:b/>
          <w:bCs/>
          <w:sz w:val="24"/>
        </w:rPr>
        <w:t>五、招标文件获取</w:t>
      </w:r>
    </w:p>
    <w:p>
      <w:pPr>
        <w:pStyle w:val="17"/>
        <w:spacing w:before="0" w:beforeAutospacing="0" w:after="0" w:afterAutospacing="0" w:line="500" w:lineRule="exact"/>
        <w:ind w:firstLine="48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本项目无须报名。</w:t>
      </w:r>
      <w:r>
        <w:rPr>
          <w:rFonts w:hint="eastAsia" w:asciiTheme="minorEastAsia" w:hAnsiTheme="minorEastAsia" w:eastAsiaTheme="minorEastAsia" w:cstheme="minorEastAsia"/>
          <w:color w:val="000000"/>
        </w:rPr>
        <w:t>供应商可在浙江政府采购网</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rPr>
        <w:t>www.zjzfcg.gov.cn</w:t>
      </w:r>
      <w:r>
        <w:rPr>
          <w:rFonts w:hint="eastAsia" w:asciiTheme="minorEastAsia" w:hAnsiTheme="minorEastAsia" w:eastAsiaTheme="minorEastAsia" w:cstheme="minorEastAsia"/>
        </w:rPr>
        <w:t>）,衢州学院信息公开网（</w:t>
      </w:r>
      <w:r>
        <w:rPr>
          <w:rFonts w:hint="eastAsia" w:asciiTheme="minorEastAsia" w:hAnsiTheme="minorEastAsia" w:eastAsiaTheme="minorEastAsia" w:cstheme="minorEastAsia"/>
          <w:b/>
        </w:rPr>
        <w:t>http://xxgk.qzc.edu.cn</w:t>
      </w:r>
      <w:r>
        <w:rPr>
          <w:rFonts w:hint="eastAsia" w:asciiTheme="minorEastAsia" w:hAnsiTheme="minorEastAsia" w:eastAsiaTheme="minorEastAsia" w:cstheme="minorEastAsia"/>
        </w:rPr>
        <w:t>）和衢州学院招标采购网（</w:t>
      </w:r>
      <w:r>
        <w:rPr>
          <w:rFonts w:hint="eastAsia" w:asciiTheme="minorEastAsia" w:hAnsiTheme="minorEastAsia" w:eastAsiaTheme="minorEastAsia" w:cstheme="minorEastAsia"/>
          <w:b/>
        </w:rPr>
        <w:t>http://zbcg.qzc.edu.cn</w:t>
      </w:r>
      <w:r>
        <w:rPr>
          <w:rFonts w:hint="eastAsia" w:asciiTheme="minorEastAsia" w:hAnsiTheme="minorEastAsia" w:eastAsiaTheme="minorEastAsia" w:cstheme="minorEastAsia"/>
        </w:rPr>
        <w:t>）免费下载。</w:t>
      </w:r>
    </w:p>
    <w:p>
      <w:pPr>
        <w:pStyle w:val="27"/>
        <w:numPr>
          <w:ilvl w:val="0"/>
          <w:numId w:val="1"/>
        </w:numPr>
        <w:spacing w:before="0" w:beforeAutospacing="0" w:after="0" w:afterAutospacing="0" w:line="500" w:lineRule="exact"/>
        <w:ind w:firstLine="480"/>
        <w:jc w:val="both"/>
        <w:rPr>
          <w:rFonts w:hint="eastAsia" w:ascii="宋体" w:hAnsi="宋体" w:cs="宋体"/>
          <w:b/>
          <w:bCs/>
          <w:sz w:val="24"/>
        </w:rPr>
      </w:pPr>
      <w:r>
        <w:rPr>
          <w:rFonts w:hint="eastAsia" w:ascii="宋体" w:hAnsi="宋体" w:cs="宋体"/>
          <w:b/>
          <w:bCs/>
          <w:sz w:val="24"/>
        </w:rPr>
        <w:t>递交投标文件截止及开标时间</w:t>
      </w:r>
    </w:p>
    <w:p>
      <w:pPr>
        <w:pStyle w:val="27"/>
        <w:numPr>
          <w:numId w:val="0"/>
        </w:numPr>
        <w:spacing w:before="0" w:beforeAutospacing="0" w:after="0" w:afterAutospacing="0" w:line="500" w:lineRule="exact"/>
        <w:ind w:firstLine="480" w:firstLineChars="200"/>
        <w:jc w:val="both"/>
        <w:rPr>
          <w:color w:val="000000"/>
        </w:rPr>
      </w:pPr>
      <w:r>
        <w:rPr>
          <w:rFonts w:hint="eastAsia"/>
          <w:color w:val="000000"/>
        </w:rPr>
        <w:t>递交投标文件截止及开标时间：</w:t>
      </w:r>
      <w:r>
        <w:rPr>
          <w:rFonts w:hint="eastAsia"/>
          <w:b/>
          <w:bCs/>
          <w:color w:val="000000"/>
        </w:rPr>
        <w:t>2022</w:t>
      </w:r>
      <w:r>
        <w:rPr>
          <w:rFonts w:hint="eastAsia"/>
          <w:b/>
          <w:bCs/>
          <w:color w:val="000000"/>
          <w:kern w:val="2"/>
        </w:rPr>
        <w:t>年</w:t>
      </w:r>
      <w:r>
        <w:rPr>
          <w:rFonts w:hint="eastAsia"/>
          <w:b/>
          <w:bCs/>
          <w:color w:val="000000"/>
          <w:kern w:val="2"/>
          <w:lang w:val="en-US" w:eastAsia="zh-CN"/>
        </w:rPr>
        <w:t>10</w:t>
      </w:r>
      <w:r>
        <w:rPr>
          <w:rFonts w:hint="eastAsia"/>
          <w:b/>
          <w:bCs/>
          <w:color w:val="000000"/>
          <w:kern w:val="2"/>
        </w:rPr>
        <w:t>月</w:t>
      </w:r>
      <w:r>
        <w:rPr>
          <w:rFonts w:hint="eastAsia"/>
          <w:b/>
          <w:bCs/>
          <w:color w:val="000000"/>
          <w:kern w:val="2"/>
          <w:lang w:val="en-US" w:eastAsia="zh-CN"/>
        </w:rPr>
        <w:t>10</w:t>
      </w:r>
      <w:r>
        <w:rPr>
          <w:rFonts w:hint="eastAsia"/>
          <w:b/>
          <w:bCs/>
          <w:color w:val="000000"/>
          <w:kern w:val="2"/>
        </w:rPr>
        <w:t>日9:00时</w:t>
      </w:r>
      <w:r>
        <w:rPr>
          <w:rFonts w:hint="eastAsia"/>
          <w:color w:val="000000"/>
          <w:kern w:val="2"/>
        </w:rPr>
        <w:t>（</w:t>
      </w:r>
      <w:r>
        <w:rPr>
          <w:rFonts w:hint="eastAsia"/>
          <w:color w:val="000000"/>
        </w:rPr>
        <w:t>北京时间）。</w:t>
      </w:r>
      <w:r>
        <w:rPr>
          <w:rFonts w:hint="eastAsia"/>
          <w:color w:val="000000"/>
          <w:lang w:val="en-US" w:eastAsia="zh-CN"/>
        </w:rPr>
        <w:t>因疫情本次招标项目的投标采用寄件方式</w:t>
      </w:r>
      <w:r>
        <w:rPr>
          <w:rFonts w:hint="eastAsia"/>
          <w:color w:val="000000"/>
          <w:lang w:eastAsia="zh-CN"/>
        </w:rPr>
        <w:t>，</w:t>
      </w:r>
      <w:r>
        <w:rPr>
          <w:rFonts w:hint="eastAsia"/>
          <w:color w:val="000000"/>
        </w:rPr>
        <w:t>逾期送达或不符合规定的投标文件恕不接受。</w:t>
      </w:r>
    </w:p>
    <w:p>
      <w:pPr>
        <w:pStyle w:val="27"/>
        <w:spacing w:before="0" w:beforeAutospacing="0" w:after="0" w:afterAutospacing="0" w:line="500" w:lineRule="exact"/>
        <w:ind w:firstLine="482" w:firstLineChars="200"/>
        <w:jc w:val="both"/>
        <w:rPr>
          <w:rFonts w:hint="eastAsia" w:eastAsia="宋体"/>
          <w:b/>
          <w:bCs/>
          <w:color w:val="000000"/>
          <w:lang w:eastAsia="zh-CN"/>
        </w:rPr>
      </w:pPr>
      <w:r>
        <w:rPr>
          <w:rFonts w:hint="eastAsia"/>
          <w:b/>
          <w:bCs/>
          <w:color w:val="000000"/>
        </w:rPr>
        <w:t>七、</w:t>
      </w:r>
      <w:bookmarkStart w:id="30" w:name="_GoBack"/>
      <w:r>
        <w:rPr>
          <w:rFonts w:hint="eastAsia"/>
          <w:b/>
          <w:bCs/>
          <w:color w:val="000000"/>
          <w:lang w:val="en-US" w:eastAsia="zh-CN"/>
        </w:rPr>
        <w:t>投标文件开标及寄件地址</w:t>
      </w:r>
    </w:p>
    <w:p>
      <w:pPr>
        <w:pStyle w:val="27"/>
        <w:spacing w:before="0" w:beforeAutospacing="0" w:after="0" w:afterAutospacing="0" w:line="500" w:lineRule="exact"/>
        <w:ind w:firstLine="480"/>
        <w:jc w:val="both"/>
        <w:rPr>
          <w:rFonts w:hint="eastAsia"/>
          <w:color w:val="000000"/>
          <w:lang w:val="en-US" w:eastAsia="zh-CN"/>
        </w:rPr>
      </w:pPr>
      <w:r>
        <w:rPr>
          <w:rFonts w:hint="eastAsia"/>
          <w:color w:val="000000"/>
          <w:lang w:val="en-US" w:eastAsia="zh-CN"/>
        </w:rPr>
        <w:t>开标地址：衢州学院行政楼开标室（121室）。</w:t>
      </w:r>
    </w:p>
    <w:p>
      <w:pPr>
        <w:pStyle w:val="27"/>
        <w:spacing w:before="0" w:beforeAutospacing="0" w:after="0" w:afterAutospacing="0" w:line="500" w:lineRule="exact"/>
        <w:ind w:firstLine="480"/>
        <w:jc w:val="both"/>
        <w:rPr>
          <w:rFonts w:hint="default" w:eastAsia="宋体"/>
          <w:color w:val="000000"/>
          <w:lang w:val="en-US" w:eastAsia="zh-CN"/>
        </w:rPr>
      </w:pPr>
      <w:r>
        <w:rPr>
          <w:rFonts w:hint="eastAsia" w:cs="宋体"/>
          <w:color w:val="FF0000"/>
          <w:highlight w:val="yellow"/>
          <w:lang w:val="en-US" w:eastAsia="zh-CN"/>
        </w:rPr>
        <w:t>寄件地址：</w:t>
      </w:r>
      <w:r>
        <w:rPr>
          <w:rFonts w:hint="eastAsia" w:ascii="宋体" w:hAnsi="宋体" w:cs="宋体"/>
          <w:color w:val="FF0000"/>
          <w:highlight w:val="yellow"/>
        </w:rPr>
        <w:t>请在投标截止前通过EMS或顺丰邮寄方式寄送至“浙江省衢州市九华北大道78号衢州学院采购中心周老师收”。</w:t>
      </w:r>
    </w:p>
    <w:bookmarkEnd w:id="30"/>
    <w:p>
      <w:pPr>
        <w:pStyle w:val="27"/>
        <w:spacing w:before="0" w:beforeAutospacing="0" w:after="0" w:afterAutospacing="0" w:line="500" w:lineRule="exact"/>
        <w:ind w:firstLine="482" w:firstLineChars="200"/>
        <w:jc w:val="both"/>
        <w:rPr>
          <w:b/>
          <w:bCs/>
          <w:color w:val="000000"/>
        </w:rPr>
      </w:pPr>
      <w:r>
        <w:rPr>
          <w:rFonts w:hint="eastAsia"/>
          <w:b/>
          <w:bCs/>
          <w:color w:val="000000"/>
        </w:rPr>
        <w:t>八、投标保证金</w:t>
      </w:r>
    </w:p>
    <w:p>
      <w:pPr>
        <w:snapToGrid w:val="0"/>
        <w:spacing w:line="500" w:lineRule="exact"/>
        <w:ind w:firstLine="480" w:firstLineChars="200"/>
        <w:rPr>
          <w:rFonts w:ascii="宋体" w:hAnsi="宋体" w:cs="宋体"/>
          <w:color w:val="000000"/>
          <w:kern w:val="0"/>
          <w:sz w:val="24"/>
        </w:rPr>
      </w:pPr>
      <w:r>
        <w:rPr>
          <w:rFonts w:hint="eastAsia" w:ascii="宋体" w:hAnsi="宋体" w:cs="宋体"/>
          <w:color w:val="000000"/>
          <w:kern w:val="0"/>
          <w:sz w:val="24"/>
        </w:rPr>
        <w:t>投标保证金（人民币）：0元（无需交纳）。</w:t>
      </w:r>
    </w:p>
    <w:p>
      <w:pPr>
        <w:widowControl/>
        <w:spacing w:line="500" w:lineRule="exact"/>
        <w:ind w:firstLine="482"/>
        <w:rPr>
          <w:rFonts w:ascii="宋体" w:hAnsi="宋体" w:cs="宋体"/>
          <w:kern w:val="0"/>
          <w:sz w:val="24"/>
        </w:rPr>
      </w:pPr>
      <w:r>
        <w:rPr>
          <w:rFonts w:hint="eastAsia" w:ascii="宋体" w:hAnsi="宋体" w:cs="宋体"/>
          <w:b/>
          <w:kern w:val="0"/>
          <w:sz w:val="24"/>
        </w:rPr>
        <w:t>九、答疑与澄清</w:t>
      </w:r>
    </w:p>
    <w:p>
      <w:pPr>
        <w:tabs>
          <w:tab w:val="left" w:pos="2366"/>
        </w:tabs>
        <w:spacing w:line="500" w:lineRule="exact"/>
        <w:ind w:firstLine="495"/>
        <w:rPr>
          <w:rFonts w:ascii="宋体" w:hAnsi="宋体" w:cs="宋体"/>
          <w:kern w:val="0"/>
          <w:sz w:val="24"/>
        </w:rPr>
      </w:pPr>
      <w:r>
        <w:rPr>
          <w:rFonts w:hint="eastAsia" w:ascii="宋体" w:hAnsi="宋体" w:cs="宋体"/>
          <w:kern w:val="0"/>
          <w:sz w:val="24"/>
        </w:rPr>
        <w:t>本招标公告的公告期限为5个工作日，投标人如对招标文件有异议，应当于公告发布之日起至公告期限满第7个工作日内，以书面形式向招标采购单位提出，逾期不予受理。</w:t>
      </w:r>
    </w:p>
    <w:p>
      <w:pPr>
        <w:widowControl/>
        <w:spacing w:line="500" w:lineRule="exact"/>
        <w:ind w:firstLine="482"/>
        <w:rPr>
          <w:rFonts w:ascii="宋体" w:hAnsi="宋体" w:cs="宋体"/>
          <w:b/>
          <w:bCs/>
          <w:color w:val="000000"/>
          <w:kern w:val="0"/>
          <w:sz w:val="24"/>
        </w:rPr>
      </w:pPr>
      <w:r>
        <w:rPr>
          <w:rFonts w:hint="eastAsia" w:ascii="宋体" w:hAnsi="宋体" w:cs="宋体"/>
          <w:b/>
          <w:bCs/>
          <w:color w:val="000000"/>
          <w:kern w:val="0"/>
          <w:sz w:val="24"/>
        </w:rPr>
        <w:t>十、其他事项</w:t>
      </w:r>
    </w:p>
    <w:p>
      <w:pPr>
        <w:widowControl/>
        <w:spacing w:line="50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widowControl/>
        <w:snapToGrid w:val="0"/>
        <w:spacing w:line="500" w:lineRule="exact"/>
        <w:ind w:firstLine="482"/>
        <w:jc w:val="left"/>
        <w:rPr>
          <w:rFonts w:ascii="宋体" w:hAnsi="宋体" w:cs="宋体"/>
          <w:kern w:val="0"/>
          <w:sz w:val="24"/>
        </w:rPr>
      </w:pPr>
      <w:r>
        <w:rPr>
          <w:rFonts w:hint="eastAsia" w:ascii="宋体" w:hAnsi="宋体" w:cs="宋体"/>
          <w:kern w:val="0"/>
          <w:sz w:val="24"/>
        </w:rPr>
        <w:t>2.根据《关于在政府采购活动中查询及使用信用记录有关问题的通知》财库[2016]125号的规定：</w:t>
      </w:r>
    </w:p>
    <w:p>
      <w:pPr>
        <w:widowControl/>
        <w:snapToGrid w:val="0"/>
        <w:spacing w:line="500" w:lineRule="exact"/>
        <w:ind w:firstLine="480"/>
        <w:jc w:val="left"/>
        <w:rPr>
          <w:rFonts w:ascii="宋体" w:hAnsi="宋体" w:cs="宋体"/>
          <w:kern w:val="0"/>
          <w:sz w:val="24"/>
        </w:rPr>
      </w:pPr>
      <w:r>
        <w:rPr>
          <w:rFonts w:hint="eastAsia" w:ascii="宋体" w:hAnsi="宋体" w:cs="宋体"/>
          <w:kern w:val="0"/>
          <w:sz w:val="24"/>
        </w:rPr>
        <w:t>1）采购人将对本项目投标人的信用记录进行查询。查询渠道为信用中国网站（www.creditchina.gov.cn）、中国政府采购网（www.ccgp.gov.cn）；</w:t>
      </w:r>
    </w:p>
    <w:p>
      <w:pPr>
        <w:widowControl/>
        <w:snapToGrid w:val="0"/>
        <w:spacing w:line="500" w:lineRule="exact"/>
        <w:ind w:firstLine="480"/>
        <w:jc w:val="left"/>
        <w:rPr>
          <w:rFonts w:ascii="宋体" w:hAnsi="宋体" w:cs="宋体"/>
          <w:kern w:val="0"/>
          <w:sz w:val="24"/>
        </w:rPr>
      </w:pPr>
      <w:r>
        <w:rPr>
          <w:rFonts w:hint="eastAsia" w:ascii="宋体" w:hAnsi="宋体" w:cs="宋体"/>
          <w:kern w:val="0"/>
          <w:sz w:val="24"/>
        </w:rPr>
        <w:t>2）截止时点：提交投标文件（响应文件）截止时间前3年内；</w:t>
      </w:r>
    </w:p>
    <w:p>
      <w:pPr>
        <w:widowControl/>
        <w:snapToGrid w:val="0"/>
        <w:spacing w:line="500" w:lineRule="exact"/>
        <w:ind w:firstLine="480"/>
        <w:jc w:val="left"/>
        <w:rPr>
          <w:rFonts w:ascii="宋体" w:hAnsi="宋体" w:cs="宋体"/>
          <w:kern w:val="0"/>
          <w:sz w:val="24"/>
        </w:rPr>
      </w:pPr>
      <w:r>
        <w:rPr>
          <w:rFonts w:hint="eastAsia" w:ascii="宋体" w:hAnsi="宋体" w:cs="宋体"/>
          <w:kern w:val="0"/>
          <w:sz w:val="24"/>
        </w:rPr>
        <w:t>3）查询记录和证据的留存：信用信息查询记录和证据以网页截图等方式留存；</w:t>
      </w:r>
    </w:p>
    <w:p>
      <w:pPr>
        <w:widowControl/>
        <w:snapToGrid w:val="0"/>
        <w:spacing w:line="500" w:lineRule="exact"/>
        <w:ind w:firstLine="480"/>
        <w:jc w:val="left"/>
        <w:rPr>
          <w:rFonts w:ascii="宋体" w:hAnsi="宋体" w:cs="宋体"/>
          <w:kern w:val="0"/>
          <w:sz w:val="24"/>
        </w:rPr>
      </w:pPr>
      <w:r>
        <w:rPr>
          <w:rFonts w:hint="eastAsia" w:ascii="宋体" w:hAnsi="宋体" w:cs="宋体"/>
          <w:kern w:val="0"/>
          <w:sz w:val="24"/>
        </w:rPr>
        <w:t>4）使用规则：被列入失信被执行人、重大税收违法案件当事人名单、政府采购严重违法失信行为记录名单及其它不符合《中华人民共和国政府采购法》第二十二条规定条件的，其投标将被拒绝；</w:t>
      </w:r>
    </w:p>
    <w:p>
      <w:pPr>
        <w:widowControl/>
        <w:spacing w:line="500" w:lineRule="exact"/>
        <w:ind w:firstLine="480"/>
        <w:jc w:val="left"/>
        <w:rPr>
          <w:rFonts w:ascii="宋体" w:hAnsi="宋体" w:cs="宋体"/>
          <w:kern w:val="0"/>
          <w:sz w:val="24"/>
        </w:rPr>
      </w:pPr>
      <w:r>
        <w:rPr>
          <w:rFonts w:hint="eastAsia" w:ascii="宋体" w:hAnsi="宋体" w:cs="宋体"/>
          <w:kern w:val="0"/>
          <w:sz w:val="24"/>
        </w:rPr>
        <w:t>5）联合体成员任意一方存在不良信用记录的，视同联合体存在不良信用记录。</w:t>
      </w:r>
    </w:p>
    <w:p>
      <w:pPr>
        <w:tabs>
          <w:tab w:val="left" w:pos="2366"/>
        </w:tabs>
        <w:spacing w:line="50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50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500" w:lineRule="exact"/>
        <w:ind w:firstLine="495"/>
        <w:rPr>
          <w:rFonts w:ascii="宋体" w:hAnsi="宋体" w:cs="宋体"/>
          <w:b/>
          <w:bCs/>
          <w:color w:val="000000"/>
          <w:sz w:val="24"/>
        </w:rPr>
      </w:pPr>
      <w:r>
        <w:rPr>
          <w:rFonts w:hint="eastAsia" w:ascii="宋体" w:hAnsi="宋体" w:cs="宋体"/>
          <w:b/>
          <w:bCs/>
          <w:color w:val="000000"/>
          <w:sz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rPr>
        <w:t>www.zjzfcg.gov.cn</w:t>
      </w:r>
      <w:r>
        <w:rPr>
          <w:rFonts w:hint="eastAsia" w:ascii="宋体" w:hAnsi="宋体" w:cs="宋体"/>
          <w:b/>
          <w:bCs/>
          <w:color w:val="000000"/>
          <w:sz w:val="24"/>
        </w:rPr>
        <w:fldChar w:fldCharType="end"/>
      </w:r>
      <w:r>
        <w:rPr>
          <w:rFonts w:hint="eastAsia" w:ascii="宋体" w:hAnsi="宋体" w:cs="宋体"/>
          <w:b/>
          <w:bCs/>
          <w:color w:val="000000"/>
          <w:sz w:val="24"/>
        </w:rPr>
        <w:t>）；</w:t>
      </w:r>
    </w:p>
    <w:p>
      <w:pPr>
        <w:tabs>
          <w:tab w:val="left" w:pos="2366"/>
        </w:tabs>
        <w:spacing w:line="50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50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500" w:lineRule="exact"/>
        <w:ind w:firstLine="495"/>
        <w:rPr>
          <w:rFonts w:ascii="宋体" w:hAnsi="宋体" w:cs="宋体"/>
          <w:b/>
          <w:bCs/>
          <w:sz w:val="24"/>
        </w:rPr>
      </w:pPr>
      <w:r>
        <w:rPr>
          <w:rFonts w:hint="eastAsia" w:ascii="宋体" w:hAnsi="宋体" w:cs="宋体"/>
          <w:b/>
          <w:bCs/>
          <w:sz w:val="24"/>
        </w:rPr>
        <w:t>十三、本招标文件由衢州学院采购中心、化学与材料工程学院负责解释。</w:t>
      </w:r>
    </w:p>
    <w:p>
      <w:pPr>
        <w:spacing w:line="500" w:lineRule="exact"/>
        <w:ind w:firstLine="495"/>
        <w:rPr>
          <w:rFonts w:ascii="宋体" w:hAnsi="宋体" w:cs="宋体"/>
          <w:b/>
          <w:bCs/>
          <w:sz w:val="24"/>
        </w:rPr>
      </w:pPr>
      <w:r>
        <w:rPr>
          <w:rFonts w:hint="eastAsia" w:ascii="宋体" w:hAnsi="宋体" w:cs="宋体"/>
          <w:b/>
          <w:bCs/>
          <w:sz w:val="24"/>
        </w:rPr>
        <w:t>十四、联系方式</w:t>
      </w:r>
    </w:p>
    <w:p>
      <w:pPr>
        <w:spacing w:line="500" w:lineRule="exact"/>
        <w:ind w:firstLine="495"/>
        <w:rPr>
          <w:rFonts w:ascii="宋体" w:hAnsi="宋体" w:cs="宋体"/>
          <w:bCs/>
          <w:sz w:val="24"/>
        </w:rPr>
      </w:pPr>
      <w:r>
        <w:rPr>
          <w:rFonts w:hint="eastAsia" w:ascii="宋体" w:hAnsi="宋体" w:cs="宋体"/>
          <w:bCs/>
          <w:sz w:val="24"/>
        </w:rPr>
        <w:t>采购人名称：衢州学院</w:t>
      </w:r>
    </w:p>
    <w:p>
      <w:pPr>
        <w:spacing w:line="50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500" w:lineRule="exact"/>
        <w:ind w:left="479" w:leftChars="228" w:firstLine="12" w:firstLineChars="5"/>
        <w:rPr>
          <w:rFonts w:ascii="宋体" w:hAnsi="宋体" w:cs="宋体"/>
          <w:bCs/>
          <w:sz w:val="24"/>
        </w:rPr>
      </w:pPr>
      <w:r>
        <w:rPr>
          <w:rFonts w:hint="eastAsia" w:ascii="宋体" w:hAnsi="宋体" w:cs="宋体"/>
          <w:kern w:val="0"/>
          <w:sz w:val="24"/>
        </w:rPr>
        <w:t>采购中心联系人</w:t>
      </w:r>
      <w:r>
        <w:rPr>
          <w:rFonts w:hint="eastAsia" w:ascii="宋体" w:hAnsi="宋体" w:cs="宋体"/>
          <w:bCs/>
          <w:sz w:val="24"/>
        </w:rPr>
        <w:t>：周老师；电话：0570-8015042,18957039862。</w:t>
      </w:r>
    </w:p>
    <w:p>
      <w:pPr>
        <w:spacing w:line="500" w:lineRule="exact"/>
        <w:ind w:left="479" w:leftChars="228" w:firstLine="12" w:firstLineChars="5"/>
        <w:rPr>
          <w:rFonts w:ascii="宋体" w:hAnsi="宋体" w:cs="宋体"/>
          <w:color w:val="000000"/>
          <w:kern w:val="0"/>
          <w:sz w:val="24"/>
        </w:rPr>
      </w:pPr>
      <w:r>
        <w:rPr>
          <w:rFonts w:hint="eastAsia" w:ascii="宋体" w:hAnsi="宋体" w:cs="宋体"/>
          <w:color w:val="000000"/>
          <w:kern w:val="0"/>
          <w:sz w:val="24"/>
        </w:rPr>
        <w:t>质疑答复联系人：郑老师；电话：</w:t>
      </w:r>
      <w:r>
        <w:rPr>
          <w:rFonts w:hint="eastAsia" w:ascii="宋体" w:hAnsi="宋体" w:cs="宋体"/>
          <w:color w:val="000000"/>
          <w:kern w:val="0"/>
          <w:sz w:val="24"/>
          <w:lang w:val="en-US" w:eastAsia="zh-CN"/>
        </w:rPr>
        <w:t>0570-8015028，</w:t>
      </w:r>
      <w:r>
        <w:rPr>
          <w:rFonts w:ascii="宋体" w:hAnsi="宋体" w:cs="宋体"/>
          <w:color w:val="000000"/>
          <w:kern w:val="0"/>
          <w:sz w:val="24"/>
        </w:rPr>
        <w:t>13567021518</w:t>
      </w:r>
      <w:r>
        <w:rPr>
          <w:rFonts w:hint="eastAsia" w:ascii="宋体" w:hAnsi="宋体" w:cs="宋体"/>
          <w:bCs/>
          <w:sz w:val="24"/>
        </w:rPr>
        <w:t>。   </w:t>
      </w:r>
    </w:p>
    <w:p>
      <w:pPr>
        <w:spacing w:line="500" w:lineRule="exact"/>
        <w:ind w:left="479" w:leftChars="228" w:firstLine="12" w:firstLineChars="5"/>
        <w:rPr>
          <w:rFonts w:ascii="宋体" w:hAnsi="宋体" w:cs="宋体"/>
          <w:bCs/>
          <w:color w:val="000000" w:themeColor="text1"/>
          <w:sz w:val="24"/>
        </w:rPr>
      </w:pPr>
      <w:r>
        <w:rPr>
          <w:rFonts w:hint="eastAsia" w:ascii="宋体" w:hAnsi="宋体" w:cs="宋体"/>
          <w:bCs/>
          <w:color w:val="000000" w:themeColor="text1"/>
          <w:sz w:val="24"/>
        </w:rPr>
        <w:t>项目技术答疑联系人：</w:t>
      </w:r>
      <w:r>
        <w:rPr>
          <w:rFonts w:hint="eastAsia" w:ascii="宋体" w:hAnsi="宋体" w:cs="宋体"/>
          <w:bCs/>
          <w:color w:val="000000" w:themeColor="text1"/>
          <w:sz w:val="24"/>
          <w:lang w:val="en-US" w:eastAsia="zh-CN"/>
        </w:rPr>
        <w:t>潘</w:t>
      </w:r>
      <w:r>
        <w:rPr>
          <w:rFonts w:hint="eastAsia" w:ascii="宋体" w:hAnsi="宋体" w:cs="宋体"/>
          <w:bCs/>
          <w:color w:val="000000" w:themeColor="text1"/>
          <w:sz w:val="24"/>
        </w:rPr>
        <w:t>老师，电话：13732512576</w:t>
      </w:r>
      <w:r>
        <w:rPr>
          <w:rFonts w:hint="eastAsia" w:ascii="宋体" w:hAnsi="宋体" w:cs="宋体"/>
          <w:color w:val="000000"/>
          <w:kern w:val="0"/>
          <w:sz w:val="24"/>
        </w:rPr>
        <w:t>。</w:t>
      </w:r>
    </w:p>
    <w:p>
      <w:pPr>
        <w:spacing w:line="500" w:lineRule="exact"/>
        <w:ind w:firstLine="5400" w:firstLineChars="2250"/>
        <w:jc w:val="right"/>
        <w:rPr>
          <w:rFonts w:ascii="宋体" w:hAnsi="宋体" w:cs="宋体"/>
          <w:bCs/>
          <w:sz w:val="24"/>
        </w:rPr>
      </w:pPr>
    </w:p>
    <w:p>
      <w:pPr>
        <w:spacing w:line="500" w:lineRule="exact"/>
        <w:ind w:firstLine="5400" w:firstLineChars="2250"/>
        <w:jc w:val="right"/>
        <w:rPr>
          <w:rFonts w:ascii="宋体" w:hAnsi="宋体" w:cs="宋体"/>
          <w:bCs/>
          <w:sz w:val="24"/>
        </w:rPr>
      </w:pPr>
      <w:r>
        <w:rPr>
          <w:rFonts w:hint="eastAsia" w:ascii="宋体" w:hAnsi="宋体" w:cs="宋体"/>
          <w:bCs/>
          <w:sz w:val="24"/>
        </w:rPr>
        <w:t>衢州学院采购中心</w:t>
      </w:r>
    </w:p>
    <w:p>
      <w:pPr>
        <w:spacing w:line="500" w:lineRule="exact"/>
        <w:jc w:val="right"/>
        <w:rPr>
          <w:rFonts w:ascii="宋体" w:hAnsi="宋体" w:cs="宋体"/>
          <w:b/>
          <w:bCs/>
          <w:sz w:val="24"/>
        </w:rPr>
      </w:pPr>
      <w:r>
        <w:rPr>
          <w:rFonts w:hint="eastAsia" w:ascii="宋体" w:hAnsi="宋体" w:cs="宋体"/>
          <w:bCs/>
          <w:sz w:val="24"/>
        </w:rPr>
        <w:t xml:space="preserve">                                                     2022年9月</w:t>
      </w:r>
      <w:r>
        <w:rPr>
          <w:rFonts w:hint="eastAsia" w:ascii="宋体" w:hAnsi="宋体" w:cs="宋体"/>
          <w:bCs/>
          <w:sz w:val="24"/>
          <w:lang w:val="en-US" w:eastAsia="zh-CN"/>
        </w:rPr>
        <w:t>19</w:t>
      </w:r>
      <w:r>
        <w:rPr>
          <w:rFonts w:hint="eastAsia" w:ascii="宋体" w:hAnsi="宋体" w:cs="宋体"/>
          <w:bCs/>
          <w:sz w:val="24"/>
        </w:rPr>
        <w:t>日</w:t>
      </w:r>
    </w:p>
    <w:p>
      <w:pPr>
        <w:spacing w:line="500" w:lineRule="exact"/>
        <w:jc w:val="center"/>
        <w:rPr>
          <w:rFonts w:ascii="宋体" w:hAnsi="宋体" w:cs="宋体"/>
          <w:b/>
          <w:bCs/>
          <w:sz w:val="32"/>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asciiTheme="minorHAnsi" w:hAnsiTheme="minorHAnsi" w:cstheme="minorBidi"/>
        </w:rPr>
      </w:pPr>
      <w:r>
        <w:rPr>
          <w:rStyle w:val="37"/>
          <w:rFonts w:hint="eastAsia" w:asciiTheme="minorHAnsi" w:hAnsiTheme="minorHAnsi" w:cstheme="minorBidi"/>
        </w:rPr>
        <w:t>第二章   投标须知</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一、总则</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（一）适用范围</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（二）定义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1．“招标人”系组织本次招标的衢州学院。</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（三）招标方式</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如投标人代表不是法定代表人，须有法定代表人出具的授权委托书。</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（五）合格的投标人</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1.响应招标文件要求，有提供服务能力，具备本招标文件中规定条件的供应商（详见第一章第四条“</w:t>
      </w:r>
      <w:r>
        <w:rPr>
          <w:rFonts w:hint="eastAsia" w:ascii="宋体" w:hAnsi="宋体" w:cs="宋体"/>
          <w:b/>
          <w:sz w:val="24"/>
        </w:rPr>
        <w:t>投标人的资格要求</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（六）投标费用</w:t>
      </w:r>
    </w:p>
    <w:p>
      <w:pPr>
        <w:autoSpaceDE w:val="0"/>
        <w:autoSpaceDN w:val="0"/>
        <w:adjustRightInd w:val="0"/>
        <w:spacing w:line="360" w:lineRule="auto"/>
        <w:ind w:firstLine="560"/>
        <w:rPr>
          <w:rFonts w:ascii="宋体" w:hAnsi="宋体" w:cs="宋体"/>
          <w:sz w:val="24"/>
        </w:rPr>
      </w:pPr>
      <w:r>
        <w:rPr>
          <w:rFonts w:hint="eastAsia" w:ascii="宋体" w:hAnsi="宋体" w:cs="宋体"/>
          <w:sz w:val="24"/>
        </w:rPr>
        <w:t>投标人自行承担所有与投标有关的全部费用。</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（七）质疑和投诉</w:t>
      </w:r>
    </w:p>
    <w:p>
      <w:pPr>
        <w:widowControl/>
        <w:spacing w:line="360" w:lineRule="auto"/>
        <w:ind w:firstLine="480"/>
        <w:jc w:val="left"/>
        <w:rPr>
          <w:rFonts w:ascii="宋体" w:hAnsi="宋体" w:cs="宋体"/>
          <w:sz w:val="24"/>
        </w:rPr>
      </w:pPr>
      <w:r>
        <w:rPr>
          <w:rFonts w:hint="eastAsia" w:ascii="宋体" w:hAnsi="宋体" w:cs="宋体"/>
          <w:sz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13567021518</w:t>
      </w:r>
      <w:r>
        <w:rPr>
          <w:rFonts w:hint="eastAsia" w:ascii="宋体" w:hAnsi="宋体" w:cs="宋体"/>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宋体" w:hAnsi="宋体" w:cs="宋体"/>
          <w:sz w:val="24"/>
        </w:rPr>
      </w:pPr>
      <w:r>
        <w:rPr>
          <w:rFonts w:hint="eastAsia" w:ascii="宋体" w:hAnsi="宋体" w:cs="宋体"/>
          <w:sz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二、招标文件</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（一）招标文件的构成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本招标文件由以下部分组成：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1.招标公告；</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2.投标须知；</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3.采购内容及要求；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4.合同主要条款；</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5.评标办法及开标程序；</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（二）招标文件的澄清与修改</w:t>
      </w:r>
    </w:p>
    <w:p>
      <w:pPr>
        <w:autoSpaceDE w:val="0"/>
        <w:autoSpaceDN w:val="0"/>
        <w:adjustRightInd w:val="0"/>
        <w:spacing w:line="360" w:lineRule="auto"/>
        <w:ind w:firstLine="482" w:firstLineChars="200"/>
        <w:jc w:val="left"/>
        <w:rPr>
          <w:rFonts w:ascii="宋体" w:hAnsi="宋体" w:cs="宋体"/>
          <w:b/>
          <w:bCs/>
          <w:sz w:val="24"/>
        </w:rPr>
      </w:pPr>
      <w:r>
        <w:rPr>
          <w:rFonts w:hint="eastAsia" w:ascii="宋体" w:hAnsi="宋体" w:cs="宋体"/>
          <w:b/>
          <w:bCs/>
          <w:sz w:val="24"/>
        </w:rPr>
        <w:t>1.投标人应认真阅读本招标文件，发现其中有误或有不合理要求的，投标人</w:t>
      </w:r>
      <w:r>
        <w:rPr>
          <w:rFonts w:hint="eastAsia" w:ascii="宋体" w:hAnsi="宋体" w:cs="宋体"/>
          <w:b/>
          <w:bCs/>
          <w:color w:val="000000"/>
          <w:kern w:val="0"/>
          <w:sz w:val="24"/>
        </w:rPr>
        <w:t>可以在报名截止日起七个工作日内</w:t>
      </w:r>
      <w:r>
        <w:rPr>
          <w:rFonts w:hint="eastAsia" w:ascii="宋体" w:hAnsi="宋体" w:cs="宋体"/>
          <w:b/>
          <w:bCs/>
          <w:sz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ascii="宋体" w:hAnsi="宋体" w:cs="宋体"/>
          <w:b/>
          <w:sz w:val="24"/>
        </w:rPr>
      </w:pPr>
      <w:r>
        <w:rPr>
          <w:rFonts w:hint="eastAsia" w:ascii="宋体" w:hAnsi="宋体" w:cs="宋体"/>
          <w:b/>
          <w:sz w:val="24"/>
        </w:rPr>
        <w:t>三、投标文件的编写</w:t>
      </w:r>
    </w:p>
    <w:p>
      <w:pPr>
        <w:spacing w:line="360" w:lineRule="auto"/>
        <w:ind w:firstLine="472" w:firstLineChars="196"/>
        <w:rPr>
          <w:rFonts w:ascii="宋体" w:hAnsi="宋体" w:cs="宋体"/>
          <w:b/>
          <w:sz w:val="24"/>
        </w:rPr>
      </w:pPr>
      <w:r>
        <w:rPr>
          <w:rFonts w:hint="eastAsia" w:ascii="宋体" w:hAnsi="宋体" w:cs="宋体"/>
          <w:b/>
          <w:sz w:val="24"/>
        </w:rPr>
        <w:t>（一）总体要求</w:t>
      </w:r>
    </w:p>
    <w:p>
      <w:pPr>
        <w:spacing w:line="360" w:lineRule="auto"/>
        <w:ind w:firstLine="480" w:firstLineChars="200"/>
        <w:rPr>
          <w:rFonts w:ascii="宋体" w:hAnsi="宋体" w:cs="宋体"/>
          <w:sz w:val="24"/>
        </w:rPr>
      </w:pPr>
      <w:r>
        <w:rPr>
          <w:rFonts w:hint="eastAsia" w:ascii="宋体" w:hAnsi="宋体" w:cs="宋体"/>
          <w:sz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ascii="宋体" w:hAnsi="宋体" w:cs="宋体"/>
          <w:sz w:val="24"/>
        </w:rPr>
      </w:pPr>
      <w:r>
        <w:rPr>
          <w:rFonts w:hint="eastAsia" w:ascii="宋体" w:hAnsi="宋体" w:cs="宋体"/>
          <w:sz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ascii="宋体" w:hAnsi="宋体" w:cs="宋体"/>
          <w:sz w:val="24"/>
        </w:rPr>
      </w:pPr>
      <w:r>
        <w:rPr>
          <w:rFonts w:hint="eastAsia" w:ascii="宋体" w:hAnsi="宋体" w:cs="宋体"/>
          <w:sz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ascii="宋体" w:hAnsi="宋体" w:cs="宋体"/>
          <w:b/>
          <w:sz w:val="24"/>
        </w:rPr>
      </w:pPr>
      <w:r>
        <w:rPr>
          <w:rFonts w:hint="eastAsia" w:ascii="宋体" w:hAnsi="宋体" w:cs="宋体"/>
          <w:b/>
          <w:sz w:val="24"/>
        </w:rPr>
        <w:t>（二）投标文件的组成</w:t>
      </w:r>
    </w:p>
    <w:p>
      <w:pPr>
        <w:spacing w:line="360" w:lineRule="auto"/>
        <w:ind w:firstLine="482" w:firstLineChars="200"/>
        <w:rPr>
          <w:rFonts w:ascii="宋体" w:hAnsi="宋体" w:cs="宋体"/>
          <w:b/>
          <w:bCs/>
          <w:color w:val="000000" w:themeColor="text1"/>
          <w:sz w:val="24"/>
        </w:rPr>
      </w:pPr>
      <w:r>
        <w:rPr>
          <w:rFonts w:hint="eastAsia" w:ascii="宋体" w:hAnsi="宋体" w:cs="宋体"/>
          <w:b/>
          <w:bCs/>
          <w:color w:val="000000" w:themeColor="text1"/>
          <w:sz w:val="24"/>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ascii="宋体" w:hAnsi="宋体" w:cs="宋体"/>
          <w:b/>
          <w:sz w:val="24"/>
        </w:rPr>
      </w:pPr>
      <w:r>
        <w:rPr>
          <w:rFonts w:hint="eastAsia" w:ascii="宋体" w:hAnsi="宋体" w:cs="宋体"/>
          <w:b/>
          <w:sz w:val="24"/>
        </w:rPr>
        <w:t>1.资格证明文件内容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47" w:type="dxa"/>
            <w:shd w:val="clear" w:color="auto" w:fill="B3B3B3"/>
            <w:vAlign w:val="center"/>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678" w:type="dxa"/>
            <w:shd w:val="clear" w:color="auto" w:fill="B3B3B3"/>
            <w:vAlign w:val="center"/>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投标文件的外包装封面及封口</w:t>
            </w:r>
          </w:p>
        </w:tc>
        <w:tc>
          <w:tcPr>
            <w:tcW w:w="1147"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678" w:type="dxa"/>
            <w:vAlign w:val="center"/>
          </w:tcPr>
          <w:p>
            <w:pPr>
              <w:autoSpaceDE w:val="0"/>
              <w:autoSpaceDN w:val="0"/>
              <w:adjustRightIn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资格证明文件封面</w:t>
            </w:r>
          </w:p>
        </w:tc>
        <w:tc>
          <w:tcPr>
            <w:tcW w:w="1147"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格式二</w:t>
            </w:r>
          </w:p>
        </w:tc>
        <w:tc>
          <w:tcPr>
            <w:tcW w:w="1678" w:type="dxa"/>
            <w:vAlign w:val="center"/>
          </w:tcPr>
          <w:p>
            <w:pPr>
              <w:autoSpaceDE w:val="0"/>
              <w:autoSpaceDN w:val="0"/>
              <w:adjustRightIn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1.投标函</w:t>
            </w:r>
          </w:p>
        </w:tc>
        <w:tc>
          <w:tcPr>
            <w:tcW w:w="1147"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格式三</w:t>
            </w: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2.有效的营业执照副本复印件</w:t>
            </w:r>
          </w:p>
        </w:tc>
        <w:tc>
          <w:tcPr>
            <w:tcW w:w="1147" w:type="dxa"/>
            <w:vAlign w:val="center"/>
          </w:tcPr>
          <w:p>
            <w:pPr>
              <w:autoSpaceDE w:val="0"/>
              <w:autoSpaceDN w:val="0"/>
              <w:adjustRightInd w:val="0"/>
              <w:spacing w:line="360" w:lineRule="auto"/>
              <w:jc w:val="center"/>
              <w:rPr>
                <w:rFonts w:ascii="宋体" w:hAnsi="宋体" w:cs="宋体"/>
                <w:sz w:val="24"/>
              </w:rPr>
            </w:pP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3.法定代表人身份证明</w:t>
            </w:r>
          </w:p>
        </w:tc>
        <w:tc>
          <w:tcPr>
            <w:tcW w:w="1147"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格式四</w:t>
            </w: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▲4.法定代表人授权委托书</w:t>
            </w:r>
          </w:p>
        </w:tc>
        <w:tc>
          <w:tcPr>
            <w:tcW w:w="1147"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格式五</w:t>
            </w: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5.法定代表人身份证复印件</w:t>
            </w:r>
          </w:p>
        </w:tc>
        <w:tc>
          <w:tcPr>
            <w:tcW w:w="1147" w:type="dxa"/>
            <w:vAlign w:val="center"/>
          </w:tcPr>
          <w:p>
            <w:pPr>
              <w:autoSpaceDE w:val="0"/>
              <w:autoSpaceDN w:val="0"/>
              <w:adjustRightInd w:val="0"/>
              <w:spacing w:line="360" w:lineRule="auto"/>
              <w:jc w:val="center"/>
              <w:rPr>
                <w:rFonts w:ascii="宋体" w:hAnsi="宋体" w:cs="宋体"/>
                <w:sz w:val="24"/>
              </w:rPr>
            </w:pP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6.被授权人身份证复印件</w:t>
            </w:r>
          </w:p>
        </w:tc>
        <w:tc>
          <w:tcPr>
            <w:tcW w:w="1147" w:type="dxa"/>
            <w:vAlign w:val="center"/>
          </w:tcPr>
          <w:p>
            <w:pPr>
              <w:autoSpaceDE w:val="0"/>
              <w:autoSpaceDN w:val="0"/>
              <w:adjustRightInd w:val="0"/>
              <w:spacing w:line="360" w:lineRule="auto"/>
              <w:jc w:val="center"/>
              <w:rPr>
                <w:rFonts w:ascii="宋体" w:hAnsi="宋体" w:cs="宋体"/>
                <w:sz w:val="24"/>
              </w:rPr>
            </w:pP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7.其它(投标人认为需投递的其他资格证明文件)</w:t>
            </w:r>
          </w:p>
        </w:tc>
        <w:tc>
          <w:tcPr>
            <w:tcW w:w="1147" w:type="dxa"/>
            <w:vAlign w:val="center"/>
          </w:tcPr>
          <w:p>
            <w:pPr>
              <w:autoSpaceDE w:val="0"/>
              <w:autoSpaceDN w:val="0"/>
              <w:adjustRightInd w:val="0"/>
              <w:spacing w:line="360" w:lineRule="auto"/>
              <w:jc w:val="center"/>
              <w:rPr>
                <w:rFonts w:ascii="宋体" w:hAnsi="宋体" w:cs="宋体"/>
                <w:sz w:val="24"/>
              </w:rPr>
            </w:pPr>
          </w:p>
        </w:tc>
        <w:tc>
          <w:tcPr>
            <w:tcW w:w="1678"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1-7</w:t>
            </w:r>
          </w:p>
        </w:tc>
      </w:tr>
    </w:tbl>
    <w:p>
      <w:pPr>
        <w:spacing w:line="360" w:lineRule="auto"/>
        <w:ind w:firstLine="482" w:firstLineChars="200"/>
        <w:rPr>
          <w:rFonts w:ascii="宋体" w:hAnsi="宋体" w:cs="宋体"/>
          <w:b/>
          <w:sz w:val="24"/>
        </w:rPr>
      </w:pPr>
      <w:r>
        <w:rPr>
          <w:rFonts w:hint="eastAsia" w:ascii="宋体" w:hAnsi="宋体" w:cs="宋体"/>
          <w:b/>
          <w:sz w:val="24"/>
        </w:rPr>
        <w:t>2.商务技术文件内容</w:t>
      </w:r>
    </w:p>
    <w:tbl>
      <w:tblPr>
        <w:tblStyle w:val="18"/>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504"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rFonts w:ascii="宋体" w:hAnsi="宋体" w:cs="宋体"/>
                <w:sz w:val="24"/>
              </w:rPr>
            </w:pPr>
            <w:r>
              <w:rPr>
                <w:rFonts w:hint="eastAsia" w:ascii="宋体" w:hAnsi="宋体" w:cs="宋体"/>
                <w:sz w:val="24"/>
              </w:rPr>
              <w:t>投标文件的外包装封面及封口</w:t>
            </w:r>
          </w:p>
        </w:tc>
        <w:tc>
          <w:tcPr>
            <w:tcW w:w="101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504"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504"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2.拟投入本项目人员情况。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eastAsia" w:ascii="宋体" w:hAnsi="宋体" w:eastAsia="宋体" w:cs="宋体"/>
                <w:b/>
                <w:bCs/>
                <w:color w:val="000000"/>
                <w:sz w:val="24"/>
                <w:lang w:eastAsia="zh-CN"/>
              </w:rPr>
            </w:pPr>
            <w:r>
              <w:rPr>
                <w:rFonts w:hint="eastAsia" w:ascii="宋体" w:hAnsi="宋体" w:cs="宋体"/>
                <w:color w:val="000000"/>
                <w:sz w:val="24"/>
              </w:rPr>
              <w:t>3.</w:t>
            </w:r>
            <w:r>
              <w:rPr>
                <w:rFonts w:hint="eastAsia" w:ascii="宋体" w:hAnsi="宋体" w:cs="宋体"/>
                <w:b/>
                <w:bCs/>
                <w:color w:val="000000"/>
                <w:sz w:val="24"/>
              </w:rPr>
              <w:t>投标人</w:t>
            </w:r>
            <w:r>
              <w:rPr>
                <w:rFonts w:hint="eastAsia" w:ascii="宋体" w:hAnsi="宋体" w:cs="宋体"/>
                <w:bCs/>
                <w:color w:val="000000"/>
                <w:kern w:val="0"/>
                <w:sz w:val="24"/>
                <w:lang w:val="zh-CN"/>
              </w:rPr>
              <w:t>同类项目实施情况一览表</w:t>
            </w:r>
            <w:r>
              <w:rPr>
                <w:rFonts w:hint="eastAsia" w:ascii="宋体" w:hAnsi="宋体" w:cs="宋体"/>
                <w:color w:val="000000"/>
                <w:sz w:val="24"/>
              </w:rPr>
              <w:t>，须提供</w:t>
            </w:r>
            <w:r>
              <w:rPr>
                <w:rFonts w:hint="eastAsia" w:ascii="宋体" w:hAnsi="宋体" w:cs="宋体"/>
                <w:bCs/>
                <w:color w:val="FF0000"/>
                <w:kern w:val="0"/>
                <w:sz w:val="24"/>
                <w:lang w:val="zh-CN"/>
              </w:rPr>
              <w:t>201</w:t>
            </w:r>
            <w:r>
              <w:rPr>
                <w:rFonts w:hint="eastAsia" w:ascii="宋体" w:hAnsi="宋体" w:cs="宋体"/>
                <w:bCs/>
                <w:color w:val="FF0000"/>
                <w:kern w:val="0"/>
                <w:sz w:val="24"/>
              </w:rPr>
              <w:t>9</w:t>
            </w:r>
            <w:r>
              <w:rPr>
                <w:rFonts w:hint="eastAsia" w:ascii="宋体" w:hAnsi="宋体" w:cs="宋体"/>
                <w:bCs/>
                <w:color w:val="FF0000"/>
                <w:kern w:val="0"/>
                <w:sz w:val="24"/>
                <w:lang w:val="zh-CN"/>
              </w:rPr>
              <w:t>年1月</w:t>
            </w:r>
            <w:r>
              <w:rPr>
                <w:rFonts w:hint="eastAsia" w:ascii="宋体" w:hAnsi="宋体" w:cs="宋体"/>
                <w:bCs/>
                <w:color w:val="FF0000"/>
                <w:kern w:val="0"/>
                <w:sz w:val="24"/>
              </w:rPr>
              <w:t>1</w:t>
            </w:r>
            <w:r>
              <w:rPr>
                <w:rFonts w:hint="eastAsia" w:ascii="宋体" w:hAnsi="宋体" w:cs="宋体"/>
                <w:bCs/>
                <w:color w:val="000000"/>
                <w:kern w:val="0"/>
                <w:sz w:val="24"/>
              </w:rPr>
              <w:t>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至今实施的同类项目有效合同原件的复印件</w:t>
            </w:r>
            <w:r>
              <w:rPr>
                <w:rFonts w:hint="eastAsia" w:ascii="宋体" w:hAnsi="宋体" w:cs="宋体"/>
                <w:color w:val="000000"/>
                <w:sz w:val="24"/>
                <w:lang w:eastAsia="zh-CN"/>
              </w:rPr>
              <w:t>。</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4.服务方案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质量保障和售后服务承诺书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格式九</w:t>
            </w: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504"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bl>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r>
        <w:rPr>
          <w:rFonts w:hint="eastAsia" w:ascii="宋体" w:hAnsi="宋体" w:cs="宋体"/>
          <w:b/>
          <w:sz w:val="24"/>
        </w:rPr>
        <w:t>3.报价文件内容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275"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16"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rPr>
            </w:pPr>
            <w:r>
              <w:rPr>
                <w:rFonts w:hint="eastAsia" w:ascii="宋体" w:hAnsi="宋体" w:cs="宋体"/>
                <w:sz w:val="24"/>
              </w:rPr>
              <w:t>投标文件的外包装封面及封口</w:t>
            </w:r>
          </w:p>
        </w:tc>
        <w:tc>
          <w:tcPr>
            <w:tcW w:w="1275"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16" w:type="dxa"/>
          </w:tcPr>
          <w:p>
            <w:pPr>
              <w:autoSpaceDE w:val="0"/>
              <w:autoSpaceDN w:val="0"/>
              <w:adjustRightIn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275"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格式二</w:t>
            </w:r>
          </w:p>
        </w:tc>
        <w:tc>
          <w:tcPr>
            <w:tcW w:w="1216" w:type="dxa"/>
          </w:tcPr>
          <w:p>
            <w:pPr>
              <w:autoSpaceDE w:val="0"/>
              <w:autoSpaceDN w:val="0"/>
              <w:adjustRightIn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rFonts w:ascii="宋体" w:hAnsi="宋体" w:cs="宋体"/>
                <w:sz w:val="24"/>
              </w:rPr>
            </w:pPr>
            <w:r>
              <w:rPr>
                <w:rFonts w:hint="eastAsia" w:ascii="宋体" w:hAnsi="宋体" w:cs="宋体"/>
                <w:sz w:val="24"/>
              </w:rPr>
              <w:t>▲1.开标一览表</w:t>
            </w:r>
          </w:p>
        </w:tc>
        <w:tc>
          <w:tcPr>
            <w:tcW w:w="1275"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格式六</w:t>
            </w:r>
          </w:p>
        </w:tc>
        <w:tc>
          <w:tcPr>
            <w:tcW w:w="1216"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rPr>
            </w:pPr>
            <w:r>
              <w:rPr>
                <w:rFonts w:hint="eastAsia" w:ascii="宋体" w:hAnsi="宋体" w:cs="宋体"/>
                <w:sz w:val="24"/>
              </w:rPr>
              <w:t>2.服务项目清单及报价表</w:t>
            </w:r>
          </w:p>
        </w:tc>
        <w:tc>
          <w:tcPr>
            <w:tcW w:w="1275"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格式七</w:t>
            </w:r>
          </w:p>
        </w:tc>
        <w:tc>
          <w:tcPr>
            <w:tcW w:w="1216"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rFonts w:ascii="宋体" w:hAnsi="宋体" w:cs="宋体"/>
                <w:color w:val="000000"/>
                <w:sz w:val="24"/>
              </w:rPr>
            </w:pPr>
            <w:r>
              <w:rPr>
                <w:rFonts w:hint="eastAsia" w:ascii="宋体" w:hAnsi="宋体" w:cs="宋体"/>
                <w:sz w:val="24"/>
              </w:rPr>
              <w:t>3.中</w:t>
            </w:r>
            <w:r>
              <w:rPr>
                <w:rFonts w:hint="eastAsia"/>
                <w:sz w:val="24"/>
              </w:rPr>
              <w:t>小微企业、监狱或戒毒企业、残疾人福利性单位需提供相关声明函。</w:t>
            </w:r>
          </w:p>
        </w:tc>
        <w:tc>
          <w:tcPr>
            <w:tcW w:w="1275"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格式十二</w:t>
            </w:r>
          </w:p>
        </w:tc>
        <w:tc>
          <w:tcPr>
            <w:tcW w:w="1216" w:type="dxa"/>
            <w:vAlign w:val="center"/>
          </w:tcPr>
          <w:p>
            <w:pPr>
              <w:autoSpaceDE w:val="0"/>
              <w:autoSpaceDN w:val="0"/>
              <w:adjustRightInd w:val="0"/>
              <w:spacing w:line="360" w:lineRule="auto"/>
              <w:jc w:val="center"/>
              <w:rPr>
                <w:sz w:val="24"/>
              </w:rPr>
            </w:pPr>
            <w:r>
              <w:rPr>
                <w:sz w:val="24"/>
              </w:rPr>
              <w:t>3-</w:t>
            </w: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rPr>
            </w:pPr>
            <w:r>
              <w:rPr>
                <w:rFonts w:hint="eastAsia" w:ascii="宋体" w:hAnsi="宋体" w:cs="宋体"/>
                <w:sz w:val="24"/>
              </w:rPr>
              <w:t>4.投标人认为有必要提供的其他资料</w:t>
            </w:r>
          </w:p>
        </w:tc>
        <w:tc>
          <w:tcPr>
            <w:tcW w:w="1275" w:type="dxa"/>
          </w:tcPr>
          <w:p>
            <w:pPr>
              <w:autoSpaceDE w:val="0"/>
              <w:autoSpaceDN w:val="0"/>
              <w:adjustRightInd w:val="0"/>
              <w:spacing w:line="360" w:lineRule="auto"/>
              <w:jc w:val="center"/>
              <w:rPr>
                <w:rFonts w:ascii="宋体" w:hAnsi="宋体" w:cs="宋体"/>
                <w:sz w:val="24"/>
              </w:rPr>
            </w:pPr>
          </w:p>
        </w:tc>
        <w:tc>
          <w:tcPr>
            <w:tcW w:w="1216"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3-6</w:t>
            </w:r>
          </w:p>
        </w:tc>
      </w:tr>
    </w:tbl>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（三）投标文件的语言及计量</w:t>
      </w:r>
    </w:p>
    <w:p>
      <w:pPr>
        <w:autoSpaceDE w:val="0"/>
        <w:autoSpaceDN w:val="0"/>
        <w:adjustRightInd w:val="0"/>
        <w:spacing w:line="360" w:lineRule="auto"/>
        <w:ind w:firstLine="472" w:firstLineChars="196"/>
        <w:rPr>
          <w:rFonts w:ascii="宋体" w:hAnsi="宋体" w:cs="宋体"/>
          <w:sz w:val="24"/>
        </w:rPr>
      </w:pPr>
      <w:r>
        <w:rPr>
          <w:rFonts w:hint="eastAsia" w:ascii="宋体" w:hAnsi="宋体" w:cs="宋体"/>
          <w:b/>
          <w:sz w:val="24"/>
        </w:rPr>
        <w:t>▲</w:t>
      </w:r>
      <w:r>
        <w:rPr>
          <w:rFonts w:hint="eastAsia" w:ascii="宋体" w:hAnsi="宋体" w:cs="宋体"/>
          <w:sz w:val="24"/>
        </w:rPr>
        <w:t>1.投标文件及投标人与采购有关的来往通知、函件和文件均应使用中文。</w:t>
      </w:r>
    </w:p>
    <w:p>
      <w:pPr>
        <w:spacing w:line="360" w:lineRule="auto"/>
        <w:ind w:firstLine="479" w:firstLineChars="199"/>
        <w:rPr>
          <w:rFonts w:ascii="宋体" w:hAnsi="宋体" w:cs="宋体"/>
          <w:sz w:val="24"/>
        </w:rPr>
      </w:pPr>
      <w:r>
        <w:rPr>
          <w:rFonts w:hint="eastAsia" w:ascii="宋体" w:hAnsi="宋体" w:cs="宋体"/>
          <w:b/>
          <w:sz w:val="24"/>
        </w:rPr>
        <w:t>▲</w:t>
      </w: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（四）投标报价</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1.投标报价应按招标文件中相关附表格式填写。</w:t>
      </w:r>
    </w:p>
    <w:p>
      <w:pPr>
        <w:autoSpaceDE w:val="0"/>
        <w:autoSpaceDN w:val="0"/>
        <w:adjustRightInd w:val="0"/>
        <w:spacing w:line="360" w:lineRule="auto"/>
        <w:ind w:firstLine="482" w:firstLineChars="200"/>
        <w:rPr>
          <w:rFonts w:ascii="宋体" w:hAnsi="宋体" w:cs="宋体"/>
          <w:sz w:val="24"/>
        </w:rPr>
      </w:pPr>
      <w:r>
        <w:rPr>
          <w:rFonts w:hint="eastAsia" w:ascii="宋体" w:hAnsi="宋体" w:cs="宋体"/>
          <w:b/>
          <w:sz w:val="24"/>
        </w:rPr>
        <w:t>▲</w:t>
      </w:r>
      <w:r>
        <w:rPr>
          <w:rFonts w:hint="eastAsia" w:ascii="宋体" w:hAnsi="宋体" w:cs="宋体"/>
          <w:sz w:val="24"/>
        </w:rPr>
        <w:t>2.投标报价是履行合同的最终价格，应包括一切费用和税金。</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（五）投标有效期</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▲1.投标文件从投标文件递交截止之日起，有效期为90天。</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rPr>
      </w:pPr>
      <w:r>
        <w:rPr>
          <w:rFonts w:hint="eastAsia" w:ascii="宋体" w:hAnsi="宋体" w:cs="宋体"/>
          <w:b/>
          <w:sz w:val="24"/>
        </w:rPr>
        <w:t>（六）投标文件的签署及规定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1.投标人应按本须知的相关要求准备投标文件，</w:t>
      </w:r>
      <w:r>
        <w:rPr>
          <w:rFonts w:hint="eastAsia" w:ascii="宋体" w:hAnsi="宋体" w:cs="宋体"/>
          <w:bCs/>
          <w:sz w:val="24"/>
        </w:rPr>
        <w:t>每套文件须清楚地标明“资格证明文件”、“商务技术文件”、“</w:t>
      </w:r>
      <w:r>
        <w:rPr>
          <w:rFonts w:hint="eastAsia" w:ascii="宋体" w:hAnsi="宋体" w:cs="宋体"/>
          <w:bCs/>
          <w:sz w:val="24"/>
          <w:lang w:val="en-US" w:eastAsia="zh-CN"/>
        </w:rPr>
        <w:t>报价</w:t>
      </w:r>
      <w:r>
        <w:rPr>
          <w:rFonts w:hint="eastAsia" w:ascii="宋体" w:hAnsi="宋体" w:cs="宋体"/>
          <w:bCs/>
          <w:sz w:val="24"/>
        </w:rPr>
        <w:t>文件”和“正本”、“副本”。</w:t>
      </w:r>
      <w:r>
        <w:rPr>
          <w:rFonts w:hint="eastAsia" w:ascii="宋体" w:hAnsi="宋体" w:cs="宋体"/>
          <w:sz w:val="24"/>
        </w:rPr>
        <w:t>若正本和副本有差异，以正本为准。</w:t>
      </w:r>
    </w:p>
    <w:p>
      <w:pPr>
        <w:autoSpaceDE w:val="0"/>
        <w:autoSpaceDN w:val="0"/>
        <w:adjustRightInd w:val="0"/>
        <w:spacing w:line="360" w:lineRule="auto"/>
        <w:ind w:firstLine="480" w:firstLineChars="200"/>
        <w:rPr>
          <w:rFonts w:ascii="宋体" w:hAnsi="宋体" w:cs="宋体"/>
          <w:b/>
          <w:bCs/>
          <w:sz w:val="24"/>
        </w:rPr>
      </w:pPr>
      <w:r>
        <w:rPr>
          <w:rFonts w:hint="eastAsia" w:ascii="宋体" w:hAnsi="宋体" w:cs="宋体"/>
          <w:sz w:val="24"/>
        </w:rPr>
        <w:t>2.投标文件的正本需打印或用不褪色墨水书写，并由投标人或经正式授权的代表在投标文件上签字。授权代表须以书面形式出具的“授权书”附在投标文件中。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rPr>
        <w:t>文件的副本可采用正本的复印件。</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3.投标人提供的正本投标文件内的各种复印件需加盖投标人公章。</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4.投标文件封面须加盖投标人单位公章。</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5.法定代表人授权委托书、投标函、开标一览表必须按照格式规定由法定代表人或全权代表签名并加盖单位公章。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6.任何行间插字、涂改和增删，必须由投标文件签字人在旁边签字才有效。</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7.电报、电话、传真形式的投标文件概不接受。</w:t>
      </w:r>
    </w:p>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（七）投标文件的密封和标记</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▲1.投标文件应分为资格证明文件、商务技术文件和报价文件三部分，每部分须单独密封并加盖投标人单位公章，且法定代表人(全权代表)须签名或盖章。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2.每包文件的封面均应注明：项目名称、项目编号、投标人名称、投标文件名称（即资格证明文件、</w:t>
      </w:r>
      <w:r>
        <w:rPr>
          <w:rFonts w:hint="eastAsia" w:ascii="宋体" w:hAnsi="宋体" w:cs="宋体"/>
          <w:sz w:val="24"/>
          <w:lang w:val="en-US" w:eastAsia="zh-CN"/>
        </w:rPr>
        <w:t>商务</w:t>
      </w:r>
      <w:r>
        <w:rPr>
          <w:rFonts w:hint="eastAsia" w:ascii="宋体" w:hAnsi="宋体" w:cs="宋体"/>
          <w:sz w:val="24"/>
        </w:rPr>
        <w:t>技术文件、</w:t>
      </w:r>
      <w:r>
        <w:rPr>
          <w:rFonts w:hint="eastAsia" w:ascii="宋体" w:hAnsi="宋体" w:cs="宋体"/>
          <w:sz w:val="24"/>
          <w:lang w:val="en-US" w:eastAsia="zh-CN"/>
        </w:rPr>
        <w:t>报价</w:t>
      </w:r>
      <w:r>
        <w:rPr>
          <w:rFonts w:hint="eastAsia" w:ascii="宋体" w:hAnsi="宋体" w:cs="宋体"/>
          <w:sz w:val="24"/>
        </w:rPr>
        <w:t>文件）。</w:t>
      </w:r>
    </w:p>
    <w:p>
      <w:pPr>
        <w:spacing w:line="360" w:lineRule="auto"/>
        <w:ind w:firstLine="472" w:firstLineChars="196"/>
        <w:rPr>
          <w:rFonts w:ascii="宋体" w:hAnsi="宋体" w:cs="宋体"/>
          <w:b/>
          <w:sz w:val="24"/>
        </w:rPr>
      </w:pPr>
      <w:r>
        <w:rPr>
          <w:rFonts w:hint="eastAsia" w:ascii="宋体" w:hAnsi="宋体" w:cs="宋体"/>
          <w:b/>
          <w:sz w:val="24"/>
        </w:rPr>
        <w:t>四、投标文件的递交</w:t>
      </w:r>
    </w:p>
    <w:p>
      <w:pPr>
        <w:spacing w:line="360" w:lineRule="auto"/>
        <w:ind w:firstLine="482" w:firstLineChars="200"/>
        <w:rPr>
          <w:rFonts w:ascii="宋体" w:hAnsi="宋体" w:cs="宋体"/>
          <w:b/>
          <w:sz w:val="24"/>
        </w:rPr>
      </w:pPr>
      <w:r>
        <w:rPr>
          <w:rFonts w:hint="eastAsia" w:ascii="宋体" w:hAnsi="宋体" w:cs="宋体"/>
          <w:b/>
          <w:sz w:val="24"/>
        </w:rPr>
        <w:t>（一）递交投标文件截止时间及地点</w:t>
      </w:r>
    </w:p>
    <w:p>
      <w:pPr>
        <w:autoSpaceDE w:val="0"/>
        <w:autoSpaceDN w:val="0"/>
        <w:adjustRightInd w:val="0"/>
        <w:spacing w:line="360" w:lineRule="auto"/>
        <w:rPr>
          <w:rFonts w:ascii="宋体" w:hAnsi="宋体" w:cs="宋体"/>
          <w:sz w:val="24"/>
        </w:rPr>
      </w:pPr>
      <w:r>
        <w:rPr>
          <w:rFonts w:hint="eastAsia" w:ascii="宋体" w:hAnsi="宋体" w:cs="宋体"/>
          <w:b/>
          <w:bCs/>
          <w:sz w:val="24"/>
        </w:rPr>
        <w:t xml:space="preserve">     截止时间及地点见招标公告（招标文件第一章）；</w:t>
      </w:r>
    </w:p>
    <w:p>
      <w:pPr>
        <w:spacing w:line="360" w:lineRule="auto"/>
        <w:ind w:firstLine="482" w:firstLineChars="200"/>
        <w:rPr>
          <w:rFonts w:ascii="宋体" w:hAnsi="宋体" w:cs="宋体"/>
          <w:b/>
          <w:sz w:val="24"/>
        </w:rPr>
      </w:pPr>
      <w:r>
        <w:rPr>
          <w:rFonts w:hint="eastAsia" w:ascii="宋体" w:hAnsi="宋体" w:cs="宋体"/>
          <w:b/>
          <w:sz w:val="24"/>
        </w:rPr>
        <w:t>（二）投标文件的修改和撤销</w:t>
      </w:r>
    </w:p>
    <w:p>
      <w:pPr>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2.投标人修改后的投标文件应按原来的规定编制、密封、标记和递交。</w:t>
      </w:r>
    </w:p>
    <w:p>
      <w:pPr>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ascii="宋体" w:hAnsi="宋体" w:cs="宋体"/>
          <w:b/>
          <w:sz w:val="24"/>
        </w:rPr>
      </w:pPr>
      <w:r>
        <w:rPr>
          <w:rFonts w:hint="eastAsia" w:ascii="宋体" w:hAnsi="宋体" w:cs="宋体"/>
          <w:b/>
          <w:sz w:val="24"/>
        </w:rPr>
        <w:t>（三）无效的投标文件</w:t>
      </w:r>
    </w:p>
    <w:p>
      <w:pPr>
        <w:spacing w:line="360" w:lineRule="auto"/>
        <w:ind w:firstLine="480" w:firstLineChars="200"/>
        <w:rPr>
          <w:rFonts w:ascii="宋体" w:hAnsi="宋体" w:cs="宋体"/>
          <w:sz w:val="24"/>
        </w:rPr>
      </w:pPr>
      <w:r>
        <w:rPr>
          <w:rFonts w:hint="eastAsia" w:ascii="宋体" w:hAnsi="宋体" w:cs="宋体"/>
          <w:sz w:val="24"/>
        </w:rPr>
        <w:t>发生下列情况之一的投标文件将被视为无效：</w:t>
      </w:r>
    </w:p>
    <w:p>
      <w:pPr>
        <w:spacing w:line="360" w:lineRule="auto"/>
        <w:ind w:firstLine="480" w:firstLineChars="200"/>
        <w:rPr>
          <w:rFonts w:ascii="宋体" w:hAnsi="宋体" w:cs="宋体"/>
          <w:sz w:val="24"/>
        </w:rPr>
      </w:pPr>
      <w:bookmarkStart w:id="2" w:name="串通投标的情形"/>
      <w:bookmarkStart w:id="3" w:name="_Toc359592368"/>
      <w:bookmarkStart w:id="4" w:name="_Toc359856805"/>
      <w:r>
        <w:rPr>
          <w:rFonts w:hint="eastAsia" w:ascii="宋体" w:hAnsi="宋体" w:cs="宋体"/>
          <w:sz w:val="24"/>
        </w:rPr>
        <w:t>1.开标截止时间以后送达的投标文件；</w:t>
      </w:r>
    </w:p>
    <w:p>
      <w:pPr>
        <w:spacing w:line="360" w:lineRule="auto"/>
        <w:ind w:firstLine="480" w:firstLineChars="200"/>
        <w:rPr>
          <w:rFonts w:ascii="宋体" w:hAnsi="宋体" w:cs="宋体"/>
          <w:sz w:val="24"/>
        </w:rPr>
      </w:pPr>
      <w:r>
        <w:rPr>
          <w:rFonts w:hint="eastAsia" w:ascii="宋体" w:hAnsi="宋体" w:cs="宋体"/>
          <w:sz w:val="24"/>
        </w:rPr>
        <w:t>2.仅以非纸制文本形式投标的投标文件；</w:t>
      </w:r>
    </w:p>
    <w:p>
      <w:pPr>
        <w:spacing w:line="360" w:lineRule="auto"/>
        <w:ind w:firstLine="480" w:firstLineChars="200"/>
        <w:rPr>
          <w:rFonts w:ascii="宋体" w:hAnsi="宋体" w:cs="宋体"/>
          <w:sz w:val="24"/>
        </w:rPr>
      </w:pPr>
      <w:r>
        <w:rPr>
          <w:rFonts w:hint="eastAsia" w:ascii="宋体" w:hAnsi="宋体" w:cs="宋体"/>
          <w:sz w:val="24"/>
        </w:rPr>
        <w:t>3.不具备招标文件规定资格要求；</w:t>
      </w:r>
    </w:p>
    <w:p>
      <w:pPr>
        <w:spacing w:line="360" w:lineRule="auto"/>
        <w:ind w:firstLine="480" w:firstLineChars="200"/>
        <w:rPr>
          <w:rFonts w:ascii="宋体" w:hAnsi="宋体" w:cs="宋体"/>
          <w:sz w:val="24"/>
        </w:rPr>
      </w:pPr>
      <w:r>
        <w:rPr>
          <w:rFonts w:hint="eastAsia" w:ascii="宋体" w:hAnsi="宋体" w:cs="宋体"/>
          <w:sz w:val="24"/>
        </w:rPr>
        <w:t>4.由于包装不妥等导致投标文件在送交途中严重破损或失散的；</w:t>
      </w:r>
    </w:p>
    <w:p>
      <w:pPr>
        <w:snapToGrid w:val="0"/>
        <w:spacing w:line="360" w:lineRule="auto"/>
        <w:ind w:firstLine="482" w:firstLineChars="200"/>
        <w:jc w:val="left"/>
        <w:rPr>
          <w:rFonts w:ascii="宋体" w:hAnsi="宋体" w:cs="宋体"/>
          <w:b/>
          <w:sz w:val="24"/>
        </w:rPr>
      </w:pPr>
      <w:r>
        <w:rPr>
          <w:rFonts w:hint="eastAsia" w:ascii="宋体" w:hAnsi="宋体" w:cs="宋体"/>
          <w:b/>
          <w:sz w:val="24"/>
        </w:rPr>
        <w:t>5.活页装订（是指用卡条、抽杆夹、订书机等形式装订，使标书可以拆卸或者在翻动过程中易脱落的一种装订方式）的投标文件；</w:t>
      </w:r>
    </w:p>
    <w:p>
      <w:pPr>
        <w:spacing w:line="360" w:lineRule="auto"/>
        <w:ind w:firstLine="482" w:firstLineChars="200"/>
        <w:rPr>
          <w:rFonts w:ascii="宋体" w:hAnsi="宋体" w:cs="宋体"/>
          <w:b/>
          <w:bCs/>
          <w:sz w:val="24"/>
        </w:rPr>
      </w:pPr>
      <w:r>
        <w:rPr>
          <w:rFonts w:hint="eastAsia" w:ascii="宋体" w:hAnsi="宋体" w:cs="宋体"/>
          <w:b/>
          <w:bCs/>
          <w:sz w:val="24"/>
        </w:rPr>
        <w:t>6.存在“▲”条款的负偏离或不满足要求的；</w:t>
      </w:r>
    </w:p>
    <w:p>
      <w:pPr>
        <w:spacing w:line="360" w:lineRule="auto"/>
        <w:ind w:firstLine="482" w:firstLineChars="200"/>
        <w:rPr>
          <w:rFonts w:ascii="宋体" w:hAnsi="宋体" w:cs="宋体"/>
          <w:b/>
          <w:bCs/>
          <w:sz w:val="24"/>
        </w:rPr>
      </w:pPr>
      <w:r>
        <w:rPr>
          <w:rFonts w:hint="eastAsia" w:ascii="宋体" w:hAnsi="宋体" w:cs="宋体"/>
          <w:b/>
          <w:bCs/>
          <w:sz w:val="24"/>
        </w:rPr>
        <w:t>7.投标有效期、交货时间、质保期条款不满足招标文件要求的；</w:t>
      </w:r>
    </w:p>
    <w:p>
      <w:pPr>
        <w:spacing w:line="360" w:lineRule="auto"/>
        <w:ind w:firstLine="482" w:firstLineChars="200"/>
        <w:rPr>
          <w:rFonts w:ascii="宋体" w:hAnsi="宋体" w:cs="宋体"/>
          <w:b/>
          <w:bCs/>
          <w:sz w:val="24"/>
        </w:rPr>
      </w:pPr>
      <w:r>
        <w:rPr>
          <w:rFonts w:hint="eastAsia" w:ascii="宋体" w:hAnsi="宋体" w:cs="宋体"/>
          <w:b/>
          <w:bCs/>
          <w:sz w:val="24"/>
        </w:rPr>
        <w:t>8.资格或技术文件中包含商务报价的；</w:t>
      </w:r>
    </w:p>
    <w:p>
      <w:pPr>
        <w:spacing w:line="360" w:lineRule="auto"/>
        <w:ind w:firstLine="480" w:firstLineChars="200"/>
        <w:rPr>
          <w:rFonts w:ascii="宋体" w:hAnsi="宋体" w:cs="宋体"/>
          <w:sz w:val="24"/>
        </w:rPr>
      </w:pPr>
      <w:r>
        <w:rPr>
          <w:rFonts w:hint="eastAsia" w:ascii="宋体" w:hAnsi="宋体" w:cs="宋体"/>
          <w:sz w:val="24"/>
        </w:rPr>
        <w:t>9.投标人的报价明显高于其市场价或低于成本价的，该投标人不能合理说明原因并提供证明材料的；</w:t>
      </w:r>
    </w:p>
    <w:p>
      <w:pPr>
        <w:spacing w:line="360" w:lineRule="auto"/>
        <w:ind w:firstLine="480" w:firstLineChars="200"/>
        <w:rPr>
          <w:rFonts w:ascii="宋体" w:hAnsi="宋体" w:cs="宋体"/>
          <w:sz w:val="24"/>
        </w:rPr>
      </w:pPr>
      <w:r>
        <w:rPr>
          <w:rFonts w:hint="eastAsia" w:ascii="宋体" w:hAnsi="宋体" w:cs="宋体"/>
          <w:sz w:val="24"/>
        </w:rPr>
        <w:t>10.投标文件关键内容字迹模糊、无法辨认的；</w:t>
      </w:r>
    </w:p>
    <w:p>
      <w:pPr>
        <w:spacing w:line="360" w:lineRule="auto"/>
        <w:ind w:firstLine="480" w:firstLineChars="200"/>
        <w:rPr>
          <w:rFonts w:ascii="宋体" w:hAnsi="宋体" w:cs="宋体"/>
          <w:sz w:val="24"/>
        </w:rPr>
      </w:pPr>
      <w:r>
        <w:rPr>
          <w:rFonts w:hint="eastAsia" w:ascii="宋体" w:hAnsi="宋体" w:cs="宋体"/>
          <w:sz w:val="24"/>
        </w:rPr>
        <w:t>11.报价超出采购预算价的；</w:t>
      </w:r>
    </w:p>
    <w:p>
      <w:pPr>
        <w:spacing w:line="360" w:lineRule="auto"/>
        <w:ind w:firstLine="480" w:firstLineChars="200"/>
        <w:rPr>
          <w:rFonts w:hint="eastAsia" w:ascii="宋体" w:hAnsi="宋体" w:cs="宋体"/>
          <w:sz w:val="24"/>
        </w:rPr>
      </w:pPr>
      <w:r>
        <w:rPr>
          <w:rFonts w:hint="eastAsia" w:ascii="宋体" w:hAnsi="宋体" w:cs="宋体"/>
          <w:sz w:val="24"/>
        </w:rPr>
        <w:t>12.提供虚假材料谋取中标的；</w:t>
      </w:r>
    </w:p>
    <w:p>
      <w:pPr>
        <w:spacing w:line="360" w:lineRule="auto"/>
        <w:ind w:firstLine="480" w:firstLineChars="200"/>
        <w:rPr>
          <w:rFonts w:hint="eastAsia" w:ascii="宋体" w:hAnsi="宋体" w:cs="宋体"/>
          <w:sz w:val="24"/>
        </w:rPr>
      </w:pPr>
      <w:r>
        <w:rPr>
          <w:rFonts w:hint="eastAsia" w:ascii="宋体" w:hAnsi="宋体" w:cs="宋体"/>
          <w:sz w:val="24"/>
        </w:rPr>
        <w:t>13.投标人串通投标的；</w:t>
      </w:r>
    </w:p>
    <w:p>
      <w:pPr>
        <w:spacing w:line="360" w:lineRule="auto"/>
        <w:ind w:firstLine="480" w:firstLineChars="200"/>
        <w:rPr>
          <w:rFonts w:hint="eastAsia" w:ascii="宋体" w:hAnsi="宋体" w:cs="宋体"/>
          <w:sz w:val="24"/>
        </w:rPr>
      </w:pPr>
      <w:r>
        <w:rPr>
          <w:rFonts w:hint="eastAsia" w:ascii="宋体" w:hAnsi="宋体" w:cs="宋体"/>
          <w:sz w:val="24"/>
        </w:rPr>
        <w:t>14.投标文件含有采购人不能接受的附件条件的；</w:t>
      </w:r>
    </w:p>
    <w:p>
      <w:pPr>
        <w:spacing w:line="360" w:lineRule="auto"/>
        <w:ind w:firstLine="480" w:firstLineChars="200"/>
        <w:rPr>
          <w:rFonts w:ascii="宋体" w:hAnsi="宋体" w:cs="宋体"/>
          <w:sz w:val="24"/>
        </w:rPr>
      </w:pPr>
      <w:r>
        <w:rPr>
          <w:rFonts w:hint="eastAsia" w:ascii="宋体" w:hAnsi="宋体" w:cs="宋体"/>
          <w:sz w:val="24"/>
        </w:rPr>
        <w:t>15.不符合法律、法规和招标文件规定的其他实质性要求的。</w:t>
      </w:r>
    </w:p>
    <w:p>
      <w:pPr>
        <w:snapToGrid w:val="0"/>
        <w:spacing w:line="360" w:lineRule="auto"/>
        <w:ind w:firstLine="241" w:firstLineChars="100"/>
        <w:outlineLvl w:val="1"/>
        <w:rPr>
          <w:rFonts w:ascii="宋体" w:hAnsi="宋体" w:cs="宋体"/>
          <w:b/>
          <w:sz w:val="24"/>
        </w:rPr>
      </w:pPr>
      <w:r>
        <w:rPr>
          <w:rFonts w:hint="eastAsia" w:ascii="宋体" w:hAnsi="宋体" w:cs="宋体"/>
          <w:b/>
          <w:sz w:val="24"/>
        </w:rPr>
        <w:t>（四）串通投标的情形</w:t>
      </w:r>
      <w:bookmarkEnd w:id="2"/>
    </w:p>
    <w:p>
      <w:pPr>
        <w:snapToGrid w:val="0"/>
        <w:spacing w:line="360" w:lineRule="auto"/>
        <w:ind w:left="284" w:firstLine="120" w:firstLineChars="50"/>
        <w:rPr>
          <w:rFonts w:ascii="宋体" w:hAnsi="宋体" w:cs="宋体"/>
          <w:sz w:val="24"/>
        </w:rPr>
      </w:pPr>
      <w:r>
        <w:rPr>
          <w:rFonts w:hint="eastAsia" w:ascii="宋体" w:hAnsi="宋体" w:cs="宋体"/>
          <w:sz w:val="24"/>
        </w:rPr>
        <w:t>1.不同投标人的投标文件由同一单位或者个人编制；</w:t>
      </w:r>
    </w:p>
    <w:p>
      <w:pPr>
        <w:snapToGrid w:val="0"/>
        <w:spacing w:line="360" w:lineRule="auto"/>
        <w:ind w:left="284" w:firstLine="120" w:firstLineChars="50"/>
        <w:rPr>
          <w:rFonts w:ascii="宋体" w:hAnsi="宋体" w:cs="宋体"/>
          <w:sz w:val="24"/>
        </w:rPr>
      </w:pPr>
      <w:r>
        <w:rPr>
          <w:rFonts w:hint="eastAsia" w:ascii="宋体" w:hAnsi="宋体" w:cs="宋体"/>
          <w:sz w:val="24"/>
        </w:rPr>
        <w:t>2.不同投标人委托同一单位或者个人办理投标事宜；</w:t>
      </w:r>
    </w:p>
    <w:p>
      <w:pPr>
        <w:snapToGrid w:val="0"/>
        <w:spacing w:line="360" w:lineRule="auto"/>
        <w:ind w:left="284" w:firstLine="120" w:firstLineChars="50"/>
        <w:rPr>
          <w:rFonts w:ascii="宋体" w:hAnsi="宋体" w:cs="宋体"/>
          <w:sz w:val="24"/>
        </w:rPr>
      </w:pPr>
      <w:r>
        <w:rPr>
          <w:rFonts w:hint="eastAsia" w:ascii="宋体" w:hAnsi="宋体" w:cs="宋体"/>
          <w:sz w:val="24"/>
        </w:rPr>
        <w:t>3.不同投标人的投标文件载明的项目管理成员或者联系人员为同一人；</w:t>
      </w:r>
    </w:p>
    <w:p>
      <w:pPr>
        <w:snapToGrid w:val="0"/>
        <w:spacing w:line="360" w:lineRule="auto"/>
        <w:ind w:left="284" w:firstLine="120" w:firstLineChars="50"/>
        <w:rPr>
          <w:rFonts w:ascii="宋体" w:hAnsi="宋体" w:cs="宋体"/>
          <w:sz w:val="24"/>
        </w:rPr>
      </w:pPr>
      <w:r>
        <w:rPr>
          <w:rFonts w:hint="eastAsia" w:ascii="宋体" w:hAnsi="宋体" w:cs="宋体"/>
          <w:sz w:val="24"/>
        </w:rPr>
        <w:t>4.不同投标人的投标文件异常一致或者投标报价呈规律性差异；</w:t>
      </w:r>
    </w:p>
    <w:p>
      <w:pPr>
        <w:snapToGrid w:val="0"/>
        <w:spacing w:line="360" w:lineRule="auto"/>
        <w:ind w:left="284" w:firstLine="120" w:firstLineChars="50"/>
        <w:rPr>
          <w:rFonts w:ascii="宋体" w:hAnsi="宋体" w:cs="宋体"/>
          <w:sz w:val="24"/>
        </w:rPr>
      </w:pPr>
      <w:r>
        <w:rPr>
          <w:rFonts w:hint="eastAsia" w:ascii="宋体" w:hAnsi="宋体" w:cs="宋体"/>
          <w:sz w:val="24"/>
        </w:rPr>
        <w:t>5.不同投标人的投标文件相互混装。</w:t>
      </w:r>
    </w:p>
    <w:p>
      <w:pPr>
        <w:snapToGrid w:val="0"/>
        <w:spacing w:line="360" w:lineRule="auto"/>
        <w:ind w:firstLine="241" w:firstLineChars="100"/>
        <w:outlineLvl w:val="1"/>
        <w:rPr>
          <w:rFonts w:ascii="宋体" w:hAnsi="宋体" w:cs="宋体"/>
          <w:b/>
          <w:sz w:val="24"/>
        </w:rPr>
      </w:pPr>
      <w:r>
        <w:rPr>
          <w:rFonts w:hint="eastAsia" w:ascii="宋体" w:hAnsi="宋体" w:cs="宋体"/>
          <w:b/>
          <w:sz w:val="24"/>
        </w:rPr>
        <w:t>（五）</w:t>
      </w:r>
      <w:bookmarkStart w:id="5" w:name="废标的情形"/>
      <w:r>
        <w:rPr>
          <w:rFonts w:hint="eastAsia" w:ascii="宋体" w:hAnsi="宋体" w:cs="宋体"/>
          <w:b/>
          <w:sz w:val="24"/>
        </w:rPr>
        <w:t>废标的情形</w:t>
      </w:r>
      <w:bookmarkEnd w:id="3"/>
      <w:bookmarkEnd w:id="4"/>
      <w:bookmarkEnd w:id="5"/>
    </w:p>
    <w:p>
      <w:pPr>
        <w:snapToGrid w:val="0"/>
        <w:spacing w:line="360" w:lineRule="auto"/>
        <w:ind w:firstLine="480" w:firstLineChars="200"/>
        <w:rPr>
          <w:rFonts w:ascii="宋体" w:hAnsi="宋体" w:cs="宋体"/>
          <w:sz w:val="24"/>
        </w:rPr>
      </w:pPr>
      <w:r>
        <w:rPr>
          <w:rFonts w:hint="eastAsia" w:ascii="宋体" w:hAnsi="宋体" w:cs="宋体"/>
          <w:sz w:val="24"/>
        </w:rPr>
        <w:t>采购中，出现下列情形之一的，应予废标，废标后，采购人将废标理由通知所有投标人：</w:t>
      </w:r>
    </w:p>
    <w:p>
      <w:pPr>
        <w:snapToGrid w:val="0"/>
        <w:spacing w:line="360" w:lineRule="auto"/>
        <w:ind w:firstLine="480" w:firstLineChars="200"/>
        <w:rPr>
          <w:rFonts w:ascii="宋体" w:hAnsi="宋体" w:cs="宋体"/>
          <w:sz w:val="24"/>
        </w:rPr>
      </w:pPr>
      <w:r>
        <w:rPr>
          <w:rFonts w:hint="eastAsia" w:ascii="宋体" w:hAnsi="宋体" w:cs="宋体"/>
          <w:sz w:val="24"/>
        </w:rPr>
        <w:t>1.符合专业条件的投标人或对招标文件作实质性响应的投标人不足三家的；</w:t>
      </w:r>
    </w:p>
    <w:p>
      <w:pPr>
        <w:snapToGrid w:val="0"/>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3.投标人的报价均超过了采购预算（最高限价），采购人不能支付的；</w:t>
      </w:r>
    </w:p>
    <w:p>
      <w:pPr>
        <w:snapToGrid w:val="0"/>
        <w:spacing w:line="360" w:lineRule="auto"/>
        <w:ind w:firstLine="480" w:firstLineChars="200"/>
        <w:rPr>
          <w:rFonts w:ascii="宋体" w:hAnsi="宋体" w:cs="宋体"/>
          <w:sz w:val="24"/>
        </w:rPr>
      </w:pPr>
      <w:r>
        <w:rPr>
          <w:rFonts w:hint="eastAsia" w:ascii="宋体" w:hAnsi="宋体" w:cs="宋体"/>
          <w:sz w:val="24"/>
        </w:rPr>
        <w:t>4.因重大变故，采购任务取消的。</w:t>
      </w:r>
    </w:p>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五、开标</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（一）开标</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 招标人在规定的日期、时间和地点组织招标会。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（二）评定原则：</w:t>
      </w:r>
      <w:r>
        <w:rPr>
          <w:rFonts w:hint="eastAsia" w:ascii="宋体" w:hAnsi="宋体" w:cs="宋体"/>
          <w:sz w:val="24"/>
        </w:rPr>
        <w:t xml:space="preserve">根据符合采购需求、质量和服务等要求，综合评分确定中标人。 </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（三）在开标期间，招标人可要求投标人对其投标文件进行澄清，有关澄清的要求和答复均应以书面形式提交。</w:t>
      </w:r>
    </w:p>
    <w:p>
      <w:pPr>
        <w:snapToGrid w:val="0"/>
        <w:spacing w:line="360" w:lineRule="auto"/>
        <w:ind w:firstLine="480" w:firstLineChars="200"/>
        <w:rPr>
          <w:rFonts w:ascii="宋体" w:hAnsi="宋体" w:cs="宋体"/>
          <w:sz w:val="24"/>
        </w:rPr>
      </w:pPr>
      <w:r>
        <w:rPr>
          <w:rFonts w:hint="eastAsia" w:ascii="宋体" w:hAnsi="宋体" w:cs="宋体"/>
          <w:sz w:val="24"/>
        </w:rPr>
        <w:t>（四）算术错误将按以下方法更正</w:t>
      </w:r>
    </w:p>
    <w:p>
      <w:pPr>
        <w:snapToGrid w:val="0"/>
        <w:spacing w:line="360" w:lineRule="auto"/>
        <w:ind w:firstLine="480" w:firstLineChars="200"/>
        <w:rPr>
          <w:rFonts w:ascii="宋体" w:hAnsi="宋体" w:cs="宋体"/>
          <w:sz w:val="24"/>
        </w:rPr>
      </w:pPr>
      <w:r>
        <w:rPr>
          <w:rFonts w:hint="eastAsia" w:ascii="宋体" w:hAnsi="宋体" w:cs="宋体"/>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sz w:val="24"/>
        </w:rPr>
      </w:pPr>
      <w:r>
        <w:rPr>
          <w:rFonts w:hint="eastAsia" w:ascii="宋体" w:hAnsi="宋体" w:cs="宋体"/>
          <w:sz w:val="24"/>
        </w:rPr>
        <w:t>2.投标文件的大写金额和小写金额不一致的，以大写金额为准；</w:t>
      </w:r>
    </w:p>
    <w:p>
      <w:pPr>
        <w:snapToGrid w:val="0"/>
        <w:spacing w:line="360" w:lineRule="auto"/>
        <w:ind w:firstLine="480" w:firstLineChars="200"/>
        <w:rPr>
          <w:rFonts w:ascii="宋体" w:hAnsi="宋体" w:cs="宋体"/>
          <w:sz w:val="24"/>
        </w:rPr>
      </w:pPr>
      <w:r>
        <w:rPr>
          <w:rFonts w:hint="eastAsia" w:ascii="宋体" w:hAnsi="宋体" w:cs="宋体"/>
          <w:sz w:val="24"/>
        </w:rPr>
        <w:t>3.单价金额小数点或百分比有明显错位的，以开标一览表的总价为准，并修改单价；</w:t>
      </w:r>
    </w:p>
    <w:p>
      <w:pPr>
        <w:snapToGrid w:val="0"/>
        <w:spacing w:line="360" w:lineRule="auto"/>
        <w:ind w:firstLine="480" w:firstLineChars="200"/>
        <w:rPr>
          <w:rFonts w:ascii="宋体" w:hAnsi="宋体" w:cs="宋体"/>
          <w:sz w:val="24"/>
        </w:rPr>
      </w:pPr>
      <w:r>
        <w:rPr>
          <w:rFonts w:hint="eastAsia" w:ascii="宋体" w:hAnsi="宋体" w:cs="宋体"/>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ascii="宋体" w:hAnsi="宋体" w:cs="宋体"/>
          <w:sz w:val="24"/>
        </w:rPr>
      </w:pPr>
      <w:r>
        <w:rPr>
          <w:rFonts w:hint="eastAsia" w:ascii="宋体" w:hAnsi="宋体" w:cs="宋体"/>
          <w:sz w:val="24"/>
        </w:rPr>
        <w:t>（五）开标结果：评标委员会按招标文件规定的评定办法评定中标候选人。</w:t>
      </w:r>
    </w:p>
    <w:p>
      <w:pPr>
        <w:spacing w:line="360" w:lineRule="auto"/>
        <w:ind w:firstLine="480" w:firstLineChars="200"/>
        <w:rPr>
          <w:rFonts w:ascii="宋体" w:hAnsi="宋体" w:cs="宋体"/>
          <w:sz w:val="24"/>
        </w:rPr>
      </w:pPr>
      <w:r>
        <w:rPr>
          <w:rFonts w:hint="eastAsia" w:ascii="宋体" w:hAnsi="宋体" w:cs="宋体"/>
          <w:sz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rPr>
      </w:pPr>
      <w:r>
        <w:rPr>
          <w:rFonts w:hint="eastAsia" w:ascii="宋体" w:hAnsi="宋体" w:cs="宋体"/>
          <w:b/>
          <w:sz w:val="24"/>
        </w:rPr>
        <w:t>（七）履约保证金</w:t>
      </w:r>
    </w:p>
    <w:p>
      <w:pPr>
        <w:autoSpaceDE w:val="0"/>
        <w:autoSpaceDN w:val="0"/>
        <w:adjustRightInd w:val="0"/>
        <w:spacing w:line="360" w:lineRule="auto"/>
        <w:ind w:firstLine="470" w:firstLineChars="196"/>
        <w:outlineLvl w:val="1"/>
        <w:rPr>
          <w:rFonts w:ascii="宋体" w:hAnsi="宋体" w:cs="宋体"/>
          <w:color w:val="FF0000"/>
          <w:sz w:val="24"/>
        </w:rPr>
      </w:pPr>
      <w:r>
        <w:rPr>
          <w:rFonts w:hint="eastAsia" w:ascii="宋体" w:hAnsi="宋体" w:cs="宋体"/>
          <w:color w:val="FF0000"/>
          <w:sz w:val="24"/>
        </w:rPr>
        <w:t>1.供应商于成交结果公示结束后5个工作日内向采购人缴纳履约保证金，履约保证金为成交金额的</w:t>
      </w:r>
      <w:r>
        <w:rPr>
          <w:rFonts w:hint="eastAsia" w:ascii="宋体" w:hAnsi="宋体" w:cs="宋体"/>
          <w:color w:val="FF0000"/>
          <w:sz w:val="24"/>
          <w:lang w:val="en-US" w:eastAsia="zh-CN"/>
        </w:rPr>
        <w:t>1</w:t>
      </w:r>
      <w:r>
        <w:rPr>
          <w:rFonts w:hint="eastAsia" w:ascii="宋体" w:hAnsi="宋体" w:cs="宋体"/>
          <w:color w:val="FF0000"/>
          <w:sz w:val="24"/>
        </w:rPr>
        <w:t>%。</w:t>
      </w:r>
    </w:p>
    <w:p>
      <w:pPr>
        <w:autoSpaceDE w:val="0"/>
        <w:autoSpaceDN w:val="0"/>
        <w:adjustRightInd w:val="0"/>
        <w:spacing w:line="360" w:lineRule="auto"/>
        <w:ind w:firstLine="470" w:firstLineChars="196"/>
        <w:outlineLvl w:val="1"/>
        <w:rPr>
          <w:rFonts w:ascii="宋体" w:hAnsi="宋体" w:cs="宋体"/>
          <w:color w:val="FF0000"/>
          <w:sz w:val="24"/>
        </w:rPr>
      </w:pPr>
      <w:r>
        <w:rPr>
          <w:rFonts w:hint="eastAsia" w:ascii="宋体" w:hAnsi="宋体" w:cs="宋体"/>
          <w:color w:val="FF0000"/>
          <w:sz w:val="24"/>
        </w:rPr>
        <w:t>2.缴纳形式：</w:t>
      </w:r>
    </w:p>
    <w:p>
      <w:pPr>
        <w:autoSpaceDE w:val="0"/>
        <w:autoSpaceDN w:val="0"/>
        <w:adjustRightInd w:val="0"/>
        <w:spacing w:line="360" w:lineRule="auto"/>
        <w:ind w:firstLine="470" w:firstLineChars="196"/>
        <w:outlineLvl w:val="1"/>
        <w:rPr>
          <w:rFonts w:ascii="宋体" w:hAnsi="宋体" w:cs="宋体"/>
          <w:color w:val="FF0000"/>
          <w:sz w:val="24"/>
        </w:rPr>
      </w:pPr>
      <w:r>
        <w:rPr>
          <w:rFonts w:hint="eastAsia" w:ascii="宋体" w:hAnsi="宋体" w:cs="宋体"/>
          <w:color w:val="FF0000"/>
          <w:sz w:val="24"/>
        </w:rPr>
        <w:t>(1)银行转账：必须注明“306003 衢州学院履约保证金”。</w:t>
      </w:r>
    </w:p>
    <w:p>
      <w:pPr>
        <w:autoSpaceDE w:val="0"/>
        <w:autoSpaceDN w:val="0"/>
        <w:adjustRightInd w:val="0"/>
        <w:spacing w:line="360" w:lineRule="auto"/>
        <w:ind w:firstLine="470" w:firstLineChars="196"/>
        <w:outlineLvl w:val="1"/>
        <w:rPr>
          <w:rFonts w:ascii="宋体" w:hAnsi="宋体" w:cs="宋体"/>
          <w:color w:val="FF0000"/>
          <w:sz w:val="24"/>
        </w:rPr>
      </w:pPr>
      <w:r>
        <w:rPr>
          <w:rFonts w:hint="eastAsia" w:ascii="宋体" w:hAnsi="宋体" w:cs="宋体"/>
          <w:color w:val="FF0000"/>
          <w:sz w:val="24"/>
        </w:rPr>
        <w:t>开户单位：衢州市财政局非税收入待清算专户；开户银行：中国农业银行衢州分行营业中心；账号：799901012105965。</w:t>
      </w:r>
    </w:p>
    <w:p>
      <w:pPr>
        <w:numPr>
          <w:ilvl w:val="0"/>
          <w:numId w:val="2"/>
        </w:numPr>
        <w:autoSpaceDE w:val="0"/>
        <w:autoSpaceDN w:val="0"/>
        <w:adjustRightInd w:val="0"/>
        <w:spacing w:line="360" w:lineRule="auto"/>
        <w:ind w:firstLine="470" w:firstLineChars="196"/>
        <w:outlineLvl w:val="1"/>
        <w:rPr>
          <w:rFonts w:ascii="宋体" w:hAnsi="宋体" w:cs="宋体"/>
          <w:color w:val="FF0000"/>
          <w:sz w:val="24"/>
        </w:rPr>
      </w:pPr>
      <w:r>
        <w:rPr>
          <w:rFonts w:hint="eastAsia" w:ascii="宋体" w:hAnsi="宋体" w:cs="宋体"/>
          <w:color w:val="FF0000"/>
          <w:sz w:val="24"/>
        </w:rPr>
        <w:t>或符合政策规定的其它形式。</w:t>
      </w:r>
    </w:p>
    <w:p>
      <w:pPr>
        <w:autoSpaceDE w:val="0"/>
        <w:autoSpaceDN w:val="0"/>
        <w:adjustRightInd w:val="0"/>
        <w:spacing w:line="360" w:lineRule="auto"/>
        <w:ind w:firstLine="482" w:firstLineChars="200"/>
        <w:outlineLvl w:val="1"/>
        <w:rPr>
          <w:rFonts w:ascii="宋体" w:hAnsi="宋体" w:cs="宋体"/>
          <w:b/>
          <w:sz w:val="24"/>
        </w:rPr>
      </w:pPr>
      <w:r>
        <w:rPr>
          <w:rFonts w:hint="eastAsia" w:ascii="宋体" w:hAnsi="宋体" w:cs="宋体"/>
          <w:b/>
          <w:sz w:val="24"/>
        </w:rPr>
        <w:t>六、合同授予</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2．中标人拖延、拒签合同的，将被扣罚履约保证金并取消中标资格。</w:t>
      </w:r>
    </w:p>
    <w:p>
      <w:pPr>
        <w:spacing w:line="360" w:lineRule="auto"/>
        <w:ind w:firstLine="480" w:firstLineChars="200"/>
        <w:rPr>
          <w:rFonts w:ascii="宋体" w:hAnsi="宋体" w:cs="宋体"/>
          <w:bCs/>
          <w:sz w:val="24"/>
        </w:rPr>
      </w:pPr>
      <w:r>
        <w:rPr>
          <w:rFonts w:hint="eastAsia" w:ascii="宋体" w:hAnsi="宋体" w:cs="宋体"/>
          <w:bCs/>
          <w:sz w:val="24"/>
        </w:rPr>
        <w:t>3．招标文件、澄清文件、投标文件等，均为签订合同的依据。</w:t>
      </w:r>
    </w:p>
    <w:p>
      <w:pPr>
        <w:spacing w:line="360" w:lineRule="auto"/>
        <w:ind w:firstLine="472" w:firstLineChars="196"/>
        <w:outlineLvl w:val="0"/>
        <w:rPr>
          <w:rFonts w:ascii="宋体" w:hAnsi="宋体" w:cs="宋体"/>
          <w:b/>
          <w:kern w:val="0"/>
          <w:sz w:val="24"/>
        </w:rPr>
      </w:pPr>
      <w:bookmarkStart w:id="6" w:name="_Toc27356"/>
      <w:r>
        <w:rPr>
          <w:rFonts w:hint="eastAsia" w:ascii="宋体" w:hAnsi="宋体" w:cs="宋体"/>
          <w:b/>
          <w:kern w:val="0"/>
          <w:sz w:val="24"/>
        </w:rPr>
        <w:t>七、服务要求</w:t>
      </w:r>
      <w:bookmarkEnd w:id="6"/>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如发生所提供服务与投标时承诺的不符，采购人有权终止合同没收履约保证金，拒绝支付合同款，由此产生的一切责任和后果由投标人承担。</w:t>
      </w:r>
    </w:p>
    <w:p>
      <w:pPr>
        <w:spacing w:line="360" w:lineRule="auto"/>
        <w:ind w:firstLine="470" w:firstLineChars="195"/>
        <w:rPr>
          <w:rFonts w:ascii="宋体" w:hAnsi="宋体" w:cs="宋体"/>
          <w:b/>
          <w:sz w:val="24"/>
        </w:rPr>
      </w:pPr>
      <w:r>
        <w:rPr>
          <w:rFonts w:hint="eastAsia" w:ascii="宋体" w:hAnsi="宋体" w:cs="宋体"/>
          <w:b/>
          <w:sz w:val="24"/>
        </w:rPr>
        <w:t>八、解释权：</w:t>
      </w:r>
      <w:r>
        <w:rPr>
          <w:rFonts w:hint="eastAsia" w:ascii="宋体" w:hAnsi="宋体" w:cs="宋体"/>
          <w:sz w:val="24"/>
        </w:rPr>
        <w:t>本招标文件依据《政府采购法》及有关规定编制，解释权属招标人。</w:t>
      </w:r>
    </w:p>
    <w:p>
      <w:pPr>
        <w:spacing w:line="360" w:lineRule="auto"/>
        <w:ind w:firstLine="472" w:firstLineChars="196"/>
        <w:rPr>
          <w:rFonts w:ascii="宋体" w:hAnsi="宋体" w:cs="宋体"/>
          <w:sz w:val="24"/>
        </w:rPr>
      </w:pPr>
      <w:r>
        <w:rPr>
          <w:rFonts w:hint="eastAsia" w:ascii="宋体" w:hAnsi="宋体" w:cs="宋体"/>
          <w:b/>
          <w:sz w:val="24"/>
        </w:rPr>
        <w:t>九、通讯地址：</w:t>
      </w:r>
      <w:r>
        <w:rPr>
          <w:rFonts w:hint="eastAsia" w:ascii="宋体" w:hAnsi="宋体" w:cs="宋体"/>
          <w:sz w:val="24"/>
        </w:rPr>
        <w:t>所有与招标有关的函电请按下面联系。</w:t>
      </w:r>
    </w:p>
    <w:p>
      <w:pPr>
        <w:spacing w:line="360" w:lineRule="auto"/>
        <w:ind w:firstLine="480" w:firstLineChars="200"/>
        <w:jc w:val="left"/>
        <w:rPr>
          <w:rFonts w:ascii="宋体" w:hAnsi="宋体" w:cs="宋体"/>
          <w:sz w:val="24"/>
        </w:rPr>
      </w:pPr>
      <w:r>
        <w:rPr>
          <w:rFonts w:hint="eastAsia" w:ascii="宋体" w:hAnsi="宋体" w:cs="宋体"/>
          <w:sz w:val="24"/>
        </w:rPr>
        <w:t>通讯地址：浙江省衢州市九华北大道78号衢州学院，邮编：324000。</w:t>
      </w:r>
    </w:p>
    <w:p>
      <w:pPr>
        <w:spacing w:line="360" w:lineRule="auto"/>
        <w:ind w:left="479" w:leftChars="228" w:firstLine="12" w:firstLineChars="5"/>
        <w:rPr>
          <w:rFonts w:ascii="宋体" w:hAnsi="宋体" w:cs="宋体"/>
          <w:bCs/>
          <w:sz w:val="24"/>
        </w:rPr>
      </w:pPr>
      <w:r>
        <w:rPr>
          <w:rFonts w:hint="eastAsia" w:ascii="宋体" w:hAnsi="宋体" w:cs="宋体"/>
          <w:kern w:val="0"/>
          <w:sz w:val="24"/>
        </w:rPr>
        <w:t>采购中心联系人</w:t>
      </w:r>
      <w:r>
        <w:rPr>
          <w:rFonts w:hint="eastAsia" w:ascii="宋体" w:hAnsi="宋体" w:cs="宋体"/>
          <w:bCs/>
          <w:sz w:val="24"/>
        </w:rPr>
        <w:t>：周老师；电话：0570-8015042,18957039862。</w:t>
      </w:r>
    </w:p>
    <w:p>
      <w:pPr>
        <w:spacing w:line="360" w:lineRule="auto"/>
        <w:ind w:left="479" w:leftChars="228" w:firstLine="12" w:firstLineChars="5"/>
        <w:rPr>
          <w:rFonts w:ascii="宋体" w:hAnsi="宋体" w:cs="宋体"/>
          <w:color w:val="000000"/>
          <w:kern w:val="0"/>
          <w:sz w:val="24"/>
        </w:rPr>
      </w:pPr>
      <w:r>
        <w:rPr>
          <w:rFonts w:hint="eastAsia" w:ascii="宋体" w:hAnsi="宋体" w:cs="宋体"/>
          <w:color w:val="000000"/>
          <w:kern w:val="0"/>
          <w:sz w:val="24"/>
        </w:rPr>
        <w:t>质疑答复联系人：郑老师；电话0570-5015028</w:t>
      </w:r>
      <w:r>
        <w:rPr>
          <w:rFonts w:hint="eastAsia" w:ascii="宋体" w:hAnsi="宋体" w:cs="宋体"/>
          <w:bCs/>
          <w:sz w:val="24"/>
        </w:rPr>
        <w:t>，13567021518。   </w:t>
      </w:r>
    </w:p>
    <w:p>
      <w:pPr>
        <w:spacing w:line="360" w:lineRule="auto"/>
        <w:ind w:left="479" w:leftChars="228" w:firstLine="12" w:firstLineChars="5"/>
        <w:rPr>
          <w:rFonts w:ascii="宋体" w:hAnsi="宋体" w:cs="宋体"/>
          <w:bCs/>
          <w:color w:val="000000" w:themeColor="text1"/>
          <w:sz w:val="24"/>
        </w:rPr>
      </w:pPr>
      <w:r>
        <w:rPr>
          <w:rFonts w:hint="eastAsia" w:ascii="宋体" w:hAnsi="宋体" w:cs="宋体"/>
          <w:bCs/>
          <w:color w:val="000000" w:themeColor="text1"/>
          <w:sz w:val="24"/>
        </w:rPr>
        <w:t>项目技术答疑联系人：</w:t>
      </w:r>
      <w:r>
        <w:rPr>
          <w:rFonts w:hint="eastAsia" w:ascii="宋体" w:hAnsi="宋体" w:cs="宋体"/>
          <w:bCs/>
          <w:color w:val="000000" w:themeColor="text1"/>
          <w:sz w:val="24"/>
          <w:lang w:val="en-US" w:eastAsia="zh-CN"/>
        </w:rPr>
        <w:t>潘老师，电话：13732512576。</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420" w:lineRule="exact"/>
        <w:jc w:val="center"/>
        <w:outlineLvl w:val="0"/>
        <w:rPr>
          <w:rStyle w:val="37"/>
          <w:rFonts w:hint="eastAsia" w:asciiTheme="minorHAnsi" w:hAnsiTheme="minorHAnsi" w:cstheme="minorBidi"/>
        </w:rPr>
      </w:pPr>
      <w:bookmarkStart w:id="7" w:name="_Toc28467"/>
    </w:p>
    <w:p>
      <w:pPr>
        <w:spacing w:line="420" w:lineRule="exact"/>
        <w:jc w:val="center"/>
        <w:outlineLvl w:val="0"/>
        <w:rPr>
          <w:rStyle w:val="37"/>
          <w:rFonts w:hint="eastAsia" w:asciiTheme="minorHAnsi" w:hAnsiTheme="minorHAnsi" w:cstheme="minorBidi"/>
        </w:rPr>
      </w:pPr>
    </w:p>
    <w:p>
      <w:pPr>
        <w:spacing w:line="420" w:lineRule="exact"/>
        <w:jc w:val="center"/>
        <w:outlineLvl w:val="0"/>
        <w:rPr>
          <w:rStyle w:val="37"/>
          <w:rFonts w:hint="eastAsia" w:asciiTheme="minorHAnsi" w:hAnsiTheme="minorHAnsi" w:cstheme="minorBidi"/>
        </w:rPr>
      </w:pPr>
    </w:p>
    <w:p>
      <w:pPr>
        <w:spacing w:line="420" w:lineRule="exact"/>
        <w:jc w:val="center"/>
        <w:outlineLvl w:val="0"/>
        <w:rPr>
          <w:rStyle w:val="37"/>
          <w:rFonts w:asciiTheme="minorHAnsi" w:hAnsiTheme="minorHAnsi" w:cstheme="minorBidi"/>
        </w:rPr>
      </w:pPr>
      <w:r>
        <w:rPr>
          <w:rStyle w:val="37"/>
          <w:rFonts w:hint="eastAsia" w:asciiTheme="minorHAnsi" w:hAnsiTheme="minorHAnsi" w:cstheme="minorBidi"/>
        </w:rPr>
        <w:t>第三章 采购内容及要求</w:t>
      </w:r>
      <w:bookmarkEnd w:id="7"/>
    </w:p>
    <w:p>
      <w:pPr>
        <w:spacing w:line="360" w:lineRule="auto"/>
        <w:ind w:firstLine="480" w:firstLineChars="200"/>
        <w:jc w:val="both"/>
        <w:rPr>
          <w:rFonts w:ascii="宋体" w:hAnsi="宋体" w:cs="宋体"/>
          <w:kern w:val="0"/>
          <w:sz w:val="24"/>
        </w:rPr>
      </w:pPr>
      <w:r>
        <w:rPr>
          <w:rFonts w:hint="eastAsia" w:ascii="宋体" w:hAnsi="宋体" w:cs="宋体"/>
          <w:kern w:val="0"/>
          <w:sz w:val="24"/>
        </w:rPr>
        <w:t>说明：标有“▲”的条款为实质性响应条款，供应商如有任何一条未完全响应，则将导致其响应无效。</w:t>
      </w:r>
    </w:p>
    <w:p>
      <w:pPr>
        <w:spacing w:line="360" w:lineRule="auto"/>
        <w:ind w:left="479" w:leftChars="228" w:firstLine="12" w:firstLineChars="5"/>
        <w:rPr>
          <w:rFonts w:ascii="宋体" w:hAnsi="宋体" w:cs="宋体"/>
          <w:kern w:val="0"/>
          <w:sz w:val="24"/>
        </w:rPr>
      </w:pPr>
      <w:r>
        <w:rPr>
          <w:rFonts w:hint="eastAsia" w:ascii="宋体" w:hAnsi="宋体" w:cs="宋体"/>
          <w:kern w:val="0"/>
          <w:sz w:val="24"/>
        </w:rPr>
        <w:t>一、项目概况</w:t>
      </w:r>
    </w:p>
    <w:tbl>
      <w:tblPr>
        <w:tblStyle w:val="18"/>
        <w:tblW w:w="7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8"/>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28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b/>
                <w:color w:val="000000"/>
                <w:kern w:val="0"/>
                <w:sz w:val="24"/>
              </w:rPr>
            </w:pPr>
            <w:r>
              <w:rPr>
                <w:rFonts w:hint="eastAsia" w:ascii="宋体" w:hAnsi="宋体" w:cs="宋体"/>
                <w:b/>
                <w:color w:val="000000"/>
                <w:kern w:val="0"/>
                <w:sz w:val="24"/>
              </w:rPr>
              <w:t>采购内容</w:t>
            </w:r>
          </w:p>
        </w:tc>
        <w:tc>
          <w:tcPr>
            <w:tcW w:w="36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b/>
                <w:color w:val="000000"/>
                <w:kern w:val="0"/>
                <w:sz w:val="24"/>
              </w:rPr>
            </w:pPr>
            <w:r>
              <w:rPr>
                <w:rFonts w:hint="eastAsia" w:ascii="宋体" w:hAnsi="宋体" w:cs="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28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kern w:val="0"/>
                <w:sz w:val="24"/>
              </w:rPr>
              <w:t>衢州学院废含汞试剂处置</w:t>
            </w:r>
          </w:p>
        </w:tc>
        <w:tc>
          <w:tcPr>
            <w:tcW w:w="36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kern w:val="0"/>
                <w:sz w:val="24"/>
              </w:rPr>
              <w:t>约30公斤（以实际重量为准）</w:t>
            </w:r>
          </w:p>
        </w:tc>
      </w:tr>
    </w:tbl>
    <w:p>
      <w:pPr>
        <w:spacing w:line="360" w:lineRule="auto"/>
        <w:rPr>
          <w:rFonts w:ascii="宋体" w:hAnsi="宋体" w:cs="宋体"/>
          <w:kern w:val="0"/>
          <w:sz w:val="24"/>
        </w:rPr>
      </w:pPr>
      <w:r>
        <w:rPr>
          <w:rFonts w:hint="eastAsia" w:ascii="宋体" w:hAnsi="宋体" w:cs="宋体"/>
          <w:kern w:val="0"/>
          <w:sz w:val="24"/>
        </w:rPr>
        <w:t>说明：</w:t>
      </w:r>
    </w:p>
    <w:p>
      <w:pPr>
        <w:spacing w:line="360" w:lineRule="auto"/>
        <w:ind w:firstLine="480" w:firstLineChars="200"/>
        <w:rPr>
          <w:rFonts w:ascii="宋体" w:hAnsi="宋体" w:cs="宋体"/>
          <w:kern w:val="0"/>
          <w:sz w:val="24"/>
        </w:rPr>
      </w:pPr>
      <w:r>
        <w:rPr>
          <w:rFonts w:hint="eastAsia" w:ascii="宋体" w:hAnsi="宋体" w:cs="宋体"/>
          <w:kern w:val="0"/>
          <w:sz w:val="24"/>
        </w:rPr>
        <w:t>1.本项目处置内容包括单质汞（CAS号：7439-97-6，普通危化，重量约25公斤）、氯化汞（CAS号：7487-94-7，剧毒品，重量约4公斤）和氧化汞(II)红（CAS号：21908-53-2，剧毒品，重量约1公斤）。</w:t>
      </w:r>
    </w:p>
    <w:p>
      <w:pPr>
        <w:spacing w:line="360" w:lineRule="auto"/>
        <w:ind w:firstLine="480" w:firstLineChars="200"/>
        <w:rPr>
          <w:rFonts w:ascii="宋体" w:hAnsi="宋体" w:cs="宋体"/>
          <w:kern w:val="0"/>
          <w:sz w:val="24"/>
        </w:rPr>
      </w:pPr>
      <w:r>
        <w:rPr>
          <w:rFonts w:hint="eastAsia" w:ascii="宋体" w:hAnsi="宋体" w:cs="宋体"/>
          <w:kern w:val="0"/>
          <w:sz w:val="24"/>
        </w:rPr>
        <w:t>2.采购总预算费用包含但不限于以下费用：①回收处置含汞危险废弃物费用；②分类、识别标志、包装等费用；③含汞危险废弃物专用车辆运输及相关费用；④回收处置过程的资料收集费用以及完成本项目相关的其他所有费用。</w:t>
      </w:r>
    </w:p>
    <w:p>
      <w:pPr>
        <w:spacing w:line="360" w:lineRule="auto"/>
        <w:ind w:firstLine="480" w:firstLineChars="200"/>
        <w:rPr>
          <w:rFonts w:ascii="宋体" w:hAnsi="宋体" w:cs="宋体"/>
          <w:kern w:val="0"/>
          <w:sz w:val="24"/>
        </w:rPr>
      </w:pPr>
      <w:r>
        <w:rPr>
          <w:rFonts w:hint="eastAsia" w:ascii="宋体" w:hAnsi="宋体" w:cs="宋体"/>
          <w:kern w:val="0"/>
          <w:sz w:val="24"/>
        </w:rPr>
        <w:t>3.本项目采用全包干形式，即总费用包干方式，投标总报价包含所有产生的相关费用，均由成交人承担，采购人不再另行支付任何其他费用。</w:t>
      </w:r>
    </w:p>
    <w:p>
      <w:pPr>
        <w:spacing w:line="360" w:lineRule="auto"/>
        <w:ind w:firstLine="480" w:firstLineChars="200"/>
        <w:rPr>
          <w:rFonts w:ascii="宋体" w:hAnsi="宋体" w:cs="宋体"/>
          <w:kern w:val="0"/>
          <w:sz w:val="24"/>
        </w:rPr>
      </w:pPr>
      <w:r>
        <w:rPr>
          <w:rFonts w:hint="eastAsia" w:ascii="宋体" w:hAnsi="宋体" w:cs="宋体"/>
          <w:kern w:val="0"/>
          <w:sz w:val="24"/>
        </w:rPr>
        <w:t>▲4.项目的标的物转移前需要妥善包装，并按照国家有关标准在外包装上设置相应的识别标志。如涉及到危险废物跨省转移手续的办理，危险废物跨省转移工作，可能需要一定的审批时间。为使项目顺利进行，需持有在有效期内的《危险废物经营许可证》等相关资质证书（提供书面承诺，格式自拟。）。</w:t>
      </w:r>
    </w:p>
    <w:p>
      <w:pPr>
        <w:spacing w:line="360" w:lineRule="auto"/>
        <w:ind w:firstLine="480" w:firstLineChars="200"/>
        <w:rPr>
          <w:rFonts w:ascii="宋体" w:hAnsi="宋体" w:cs="宋体"/>
          <w:kern w:val="0"/>
          <w:sz w:val="24"/>
        </w:rPr>
      </w:pPr>
      <w:r>
        <w:rPr>
          <w:rFonts w:hint="eastAsia" w:ascii="宋体" w:hAnsi="宋体" w:cs="宋体"/>
          <w:kern w:val="0"/>
          <w:sz w:val="24"/>
        </w:rPr>
        <w:t>▲5.转移运输车辆是自有或委托的运输单位，应具有经营范围涵盖含汞危险废弃物运输的《道路运输经营许可证》和《危险废物转移管理办法》等国家法律法规强制要求的资质（格）证书，驾驶员和押运员需具有从业资格类别含有道路危险货物运输驾驶员和剧毒化学品道路运输押运人员的《道路运输从业人员从业资格证书》和《危险废物转移管理办法》等国家法律法规强制要求的资质（格）证书。如委托具备相应危险货物运输资质的单位承运危险废物，须依法签订运输合同。（提供书面承诺，格式自拟。）</w:t>
      </w:r>
    </w:p>
    <w:p>
      <w:pPr>
        <w:spacing w:line="360" w:lineRule="auto"/>
        <w:ind w:left="479" w:leftChars="228" w:firstLine="12" w:firstLineChars="5"/>
        <w:rPr>
          <w:rFonts w:ascii="宋体" w:hAnsi="宋体" w:cs="宋体"/>
          <w:b/>
          <w:bCs/>
          <w:kern w:val="0"/>
          <w:sz w:val="24"/>
        </w:rPr>
      </w:pPr>
      <w:r>
        <w:rPr>
          <w:rFonts w:hint="eastAsia" w:ascii="宋体" w:hAnsi="宋体" w:cs="宋体"/>
          <w:b/>
          <w:bCs/>
          <w:kern w:val="0"/>
          <w:sz w:val="24"/>
        </w:rPr>
        <w:t>二、含汞废弃物回收处置要求</w:t>
      </w:r>
    </w:p>
    <w:p>
      <w:pPr>
        <w:spacing w:line="360" w:lineRule="auto"/>
        <w:ind w:firstLine="480" w:firstLineChars="200"/>
        <w:rPr>
          <w:rFonts w:ascii="宋体" w:hAnsi="宋体" w:cs="宋体"/>
          <w:kern w:val="0"/>
          <w:sz w:val="24"/>
        </w:rPr>
      </w:pPr>
      <w:r>
        <w:rPr>
          <w:rFonts w:hint="eastAsia" w:ascii="宋体" w:hAnsi="宋体" w:cs="宋体"/>
          <w:kern w:val="0"/>
          <w:sz w:val="24"/>
        </w:rPr>
        <w:t>1.采购人办理完转移报批手续后，成交人必须严格按照国家相关法律法规要求对含汞危险废弃物进行包装、识别标志、储存、运输、回收处置等工作，避免产生二次污染或环境污染事故；</w:t>
      </w:r>
    </w:p>
    <w:p>
      <w:pPr>
        <w:spacing w:line="360" w:lineRule="auto"/>
        <w:ind w:firstLine="480" w:firstLineChars="200"/>
        <w:rPr>
          <w:rFonts w:ascii="宋体" w:hAnsi="宋体" w:cs="宋体"/>
          <w:kern w:val="0"/>
          <w:sz w:val="24"/>
        </w:rPr>
      </w:pPr>
      <w:r>
        <w:rPr>
          <w:rFonts w:hint="eastAsia" w:ascii="宋体" w:hAnsi="宋体" w:cs="宋体"/>
          <w:kern w:val="0"/>
          <w:sz w:val="24"/>
        </w:rPr>
        <w:t>2.采购人将含汞废弃物安全交付给成交人后，成交人必须按照国家相关的法律法规和技术规范、标准进行安全回收处置，在含汞危险废弃物转移过程中应当采取防扬散、防流失、防渗漏或者其他防止污染环境的措施，不得擅自倾倒、堆放、丢弃、遗撒危险废物，如发生交通安全、环境安全、污染事故以及生态破坏等事故均由成交人承担全部法律责任。</w:t>
      </w:r>
    </w:p>
    <w:p>
      <w:pPr>
        <w:spacing w:line="360" w:lineRule="auto"/>
        <w:ind w:firstLine="480" w:firstLineChars="200"/>
        <w:rPr>
          <w:rFonts w:ascii="宋体" w:hAnsi="宋体" w:cs="宋体"/>
          <w:kern w:val="0"/>
          <w:sz w:val="24"/>
        </w:rPr>
      </w:pPr>
      <w:r>
        <w:rPr>
          <w:rFonts w:hint="eastAsia" w:ascii="宋体" w:hAnsi="宋体" w:cs="宋体"/>
          <w:kern w:val="0"/>
          <w:sz w:val="24"/>
        </w:rPr>
        <w:t>成交人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p>
      <w:pPr>
        <w:spacing w:line="360" w:lineRule="auto"/>
        <w:ind w:firstLine="480" w:firstLineChars="200"/>
        <w:rPr>
          <w:rFonts w:ascii="宋体" w:hAnsi="宋体" w:cs="宋体"/>
          <w:kern w:val="0"/>
          <w:sz w:val="24"/>
        </w:rPr>
      </w:pPr>
      <w:r>
        <w:rPr>
          <w:rFonts w:hint="eastAsia" w:ascii="宋体" w:hAnsi="宋体" w:cs="宋体"/>
          <w:kern w:val="0"/>
          <w:sz w:val="24"/>
        </w:rPr>
        <w:t>3.成交人在包装、识别标志、储存、运输、回收处置含汞危险废弃物工作过程中，必须严格遵守《中华人民共和国固体废物污染环境防治法》、《危险废物转移管理办法》等相关的法律法规和技术规范、标准等；</w:t>
      </w:r>
    </w:p>
    <w:p>
      <w:pPr>
        <w:spacing w:line="360" w:lineRule="auto"/>
        <w:ind w:firstLine="480" w:firstLineChars="200"/>
        <w:rPr>
          <w:rFonts w:ascii="宋体" w:hAnsi="宋体" w:cs="宋体"/>
          <w:kern w:val="0"/>
          <w:sz w:val="24"/>
        </w:rPr>
      </w:pPr>
      <w:r>
        <w:rPr>
          <w:rFonts w:hint="eastAsia" w:ascii="宋体" w:hAnsi="宋体" w:cs="宋体"/>
          <w:kern w:val="0"/>
          <w:sz w:val="24"/>
        </w:rPr>
        <w:t>4.含汞废弃物转移后成交人需委托有资质第三方检测机构进行检测，并出具具有CMA标志的专业检测报告，检测报告内容包括但不限于危险废物成分等，成交价已包含检测费用。若本项目标的物包含的危险废物不限于汞，成交人有责任依照相关规定负责将废物处置，采购人不再支付相关费用。</w:t>
      </w:r>
    </w:p>
    <w:p>
      <w:pPr>
        <w:spacing w:line="360" w:lineRule="auto"/>
        <w:ind w:firstLine="480" w:firstLineChars="200"/>
        <w:rPr>
          <w:rFonts w:ascii="宋体" w:hAnsi="宋体" w:cs="宋体"/>
          <w:kern w:val="0"/>
          <w:sz w:val="24"/>
        </w:rPr>
      </w:pPr>
      <w:r>
        <w:rPr>
          <w:rFonts w:hint="eastAsia" w:ascii="宋体" w:hAnsi="宋体" w:cs="宋体"/>
          <w:kern w:val="0"/>
          <w:sz w:val="24"/>
        </w:rPr>
        <w:t>5.成交人应当对运抵的含汞危险废弃物进行核实验收，在接受之日起五个工作日内通过国家危险废物信息管理系统确认接受。并将危险废物接受情况、利用或者处置结果及时告知采购人。</w:t>
      </w:r>
    </w:p>
    <w:p>
      <w:pPr>
        <w:spacing w:line="360" w:lineRule="auto"/>
        <w:ind w:left="479" w:leftChars="228" w:firstLine="12" w:firstLineChars="5"/>
        <w:rPr>
          <w:rFonts w:ascii="宋体" w:hAnsi="宋体" w:cs="宋体"/>
          <w:kern w:val="0"/>
          <w:sz w:val="24"/>
        </w:rPr>
      </w:pPr>
      <w:r>
        <w:rPr>
          <w:rFonts w:hint="eastAsia" w:ascii="宋体" w:hAnsi="宋体" w:cs="宋体"/>
          <w:kern w:val="0"/>
          <w:sz w:val="24"/>
        </w:rPr>
        <w:t>三、保密要求</w:t>
      </w:r>
    </w:p>
    <w:p>
      <w:pPr>
        <w:spacing w:line="360" w:lineRule="auto"/>
        <w:ind w:left="479" w:leftChars="228" w:firstLine="12" w:firstLineChars="5"/>
        <w:rPr>
          <w:rFonts w:ascii="宋体" w:hAnsi="宋体" w:cs="宋体"/>
          <w:kern w:val="0"/>
          <w:sz w:val="24"/>
        </w:rPr>
      </w:pPr>
      <w:r>
        <w:rPr>
          <w:rFonts w:hint="eastAsia" w:ascii="宋体" w:hAnsi="宋体" w:cs="宋体"/>
          <w:kern w:val="0"/>
          <w:sz w:val="24"/>
        </w:rPr>
        <w:t>在合同履行期间，成交人对本项目的一切原始资料、信息负有保密义务。</w:t>
      </w:r>
    </w:p>
    <w:p>
      <w:pPr>
        <w:spacing w:line="360" w:lineRule="auto"/>
        <w:ind w:firstLine="480" w:firstLineChars="200"/>
        <w:rPr>
          <w:rFonts w:ascii="宋体" w:hAnsi="宋体" w:cs="宋体"/>
          <w:kern w:val="0"/>
          <w:sz w:val="24"/>
        </w:rPr>
      </w:pPr>
      <w:r>
        <w:rPr>
          <w:rFonts w:hint="eastAsia" w:ascii="宋体" w:hAnsi="宋体" w:cs="宋体"/>
          <w:kern w:val="0"/>
          <w:sz w:val="24"/>
        </w:rPr>
        <w:t>四、验收要求</w:t>
      </w:r>
    </w:p>
    <w:p>
      <w:pPr>
        <w:spacing w:line="360" w:lineRule="auto"/>
        <w:ind w:left="479" w:leftChars="228" w:firstLine="12" w:firstLineChars="5"/>
        <w:rPr>
          <w:rFonts w:ascii="宋体" w:hAnsi="宋体" w:cs="宋体"/>
          <w:kern w:val="0"/>
          <w:sz w:val="24"/>
        </w:rPr>
      </w:pPr>
      <w:r>
        <w:rPr>
          <w:rFonts w:hint="eastAsia" w:ascii="宋体" w:hAnsi="宋体" w:cs="宋体"/>
          <w:kern w:val="0"/>
          <w:sz w:val="24"/>
        </w:rPr>
        <w:t>成交人需在含汞危险废弃物安全回收处置后将①分类、识别标志、包装过程；</w:t>
      </w:r>
    </w:p>
    <w:p>
      <w:pPr>
        <w:spacing w:line="360" w:lineRule="auto"/>
        <w:rPr>
          <w:rFonts w:ascii="宋体" w:hAnsi="宋体" w:cs="宋体"/>
          <w:kern w:val="0"/>
          <w:sz w:val="24"/>
        </w:rPr>
      </w:pPr>
      <w:r>
        <w:rPr>
          <w:rFonts w:hint="eastAsia" w:ascii="宋体" w:hAnsi="宋体" w:cs="宋体"/>
          <w:kern w:val="0"/>
          <w:sz w:val="24"/>
        </w:rPr>
        <w:t>②含汞危险废弃物危险货物运单、运输车辆行驶轨迹信息，运输车辆限制通行区域信息；③含汞危险废弃物转移联单；④含汞危险废弃物处置的说明、过程的图片及文件；⑤含汞危险废弃物回收处置结果；⑥检测报告等其它有关材料,整理归档、装订成册，形成可追溯的过程资料（一式三份），在成交人办理第二期申请支付费用手续时将追溯的过程资料移交给采购人。其中危险废物电子转移联单数据应当在国家危险废物信息管理系统中至少保存十年。</w:t>
      </w:r>
    </w:p>
    <w:p>
      <w:pPr>
        <w:spacing w:line="360" w:lineRule="auto"/>
        <w:ind w:firstLine="480" w:firstLineChars="200"/>
        <w:rPr>
          <w:rFonts w:ascii="宋体" w:hAnsi="宋体" w:cs="宋体"/>
          <w:kern w:val="0"/>
          <w:sz w:val="24"/>
        </w:rPr>
      </w:pPr>
      <w:r>
        <w:rPr>
          <w:rFonts w:hint="eastAsia" w:ascii="宋体" w:hAnsi="宋体" w:cs="宋体"/>
          <w:kern w:val="0"/>
          <w:sz w:val="24"/>
        </w:rPr>
        <w:t>若发现追溯的过程资料有弄虚作假的，或者不按相关法律规定回收处置含汞危险废弃物的，经核查情况属实的，由成交人承担全部法律责任，采购人有权拒绝支付项目经费。</w:t>
      </w:r>
    </w:p>
    <w:p>
      <w:pPr>
        <w:spacing w:line="360" w:lineRule="auto"/>
        <w:ind w:left="479" w:leftChars="228" w:firstLine="12" w:firstLineChars="5"/>
        <w:rPr>
          <w:rFonts w:ascii="宋体" w:hAnsi="宋体" w:cs="宋体"/>
          <w:kern w:val="0"/>
          <w:sz w:val="24"/>
        </w:rPr>
      </w:pPr>
      <w:r>
        <w:rPr>
          <w:rFonts w:hint="eastAsia" w:ascii="宋体" w:hAnsi="宋体" w:cs="宋体"/>
          <w:kern w:val="0"/>
          <w:sz w:val="24"/>
        </w:rPr>
        <w:t>五、服务方案</w:t>
      </w:r>
    </w:p>
    <w:p>
      <w:pPr>
        <w:spacing w:line="360" w:lineRule="auto"/>
        <w:ind w:firstLine="480" w:firstLineChars="200"/>
        <w:rPr>
          <w:rFonts w:ascii="宋体" w:hAnsi="宋体" w:cs="宋体"/>
          <w:kern w:val="0"/>
          <w:sz w:val="24"/>
        </w:rPr>
      </w:pPr>
      <w:r>
        <w:rPr>
          <w:rFonts w:hint="eastAsia" w:ascii="宋体" w:hAnsi="宋体" w:cs="宋体"/>
          <w:kern w:val="0"/>
          <w:sz w:val="24"/>
        </w:rPr>
        <w:t>成交人需根据本项目的特点和要求提供完善的服务方案，服务方案应包括但不限于以下内容：</w:t>
      </w:r>
    </w:p>
    <w:p>
      <w:pPr>
        <w:spacing w:line="360" w:lineRule="auto"/>
        <w:ind w:firstLine="480" w:firstLineChars="200"/>
        <w:rPr>
          <w:rFonts w:ascii="宋体" w:hAnsi="宋体" w:cs="宋体"/>
          <w:kern w:val="0"/>
          <w:sz w:val="24"/>
        </w:rPr>
      </w:pPr>
      <w:r>
        <w:rPr>
          <w:rFonts w:hint="eastAsia" w:ascii="宋体" w:hAnsi="宋体" w:cs="宋体"/>
          <w:kern w:val="0"/>
          <w:sz w:val="24"/>
        </w:rPr>
        <w:t>①对含汞危险废弃物转移的实施方案和管理计划（含汞危险废弃物的分类、识别标志、包装、储存、运输、回收处置实施方案、车辆设备的配备）进行详细阐述；</w:t>
      </w:r>
    </w:p>
    <w:p>
      <w:pPr>
        <w:spacing w:line="360" w:lineRule="auto"/>
        <w:ind w:firstLine="480" w:firstLineChars="200"/>
        <w:rPr>
          <w:rFonts w:ascii="宋体" w:hAnsi="宋体" w:cs="宋体"/>
          <w:kern w:val="0"/>
          <w:sz w:val="24"/>
        </w:rPr>
      </w:pPr>
      <w:r>
        <w:rPr>
          <w:rFonts w:hint="eastAsia" w:ascii="宋体" w:hAnsi="宋体" w:cs="宋体"/>
          <w:kern w:val="0"/>
          <w:sz w:val="24"/>
        </w:rPr>
        <w:t>②针对本项目提供的工作计划及保障措施进行详细阐述和说明；</w:t>
      </w:r>
    </w:p>
    <w:p>
      <w:pPr>
        <w:spacing w:line="360" w:lineRule="auto"/>
        <w:ind w:firstLine="480" w:firstLineChars="200"/>
        <w:rPr>
          <w:rFonts w:ascii="宋体" w:hAnsi="宋体" w:cs="宋体"/>
          <w:kern w:val="0"/>
          <w:sz w:val="24"/>
        </w:rPr>
      </w:pPr>
      <w:r>
        <w:rPr>
          <w:rFonts w:hint="eastAsia" w:ascii="宋体" w:hAnsi="宋体" w:cs="宋体"/>
          <w:kern w:val="0"/>
          <w:sz w:val="24"/>
        </w:rPr>
        <w:t>③对风险预警机制（包括收集运输、转移过程中的交通安全、环境安全、污染事故以及生态破坏等事故的风险控制方案等）进行详细阐述；</w:t>
      </w:r>
    </w:p>
    <w:p>
      <w:pPr>
        <w:spacing w:line="360" w:lineRule="auto"/>
        <w:ind w:firstLine="480" w:firstLineChars="200"/>
        <w:rPr>
          <w:rFonts w:ascii="宋体" w:hAnsi="宋体" w:cs="宋体"/>
          <w:kern w:val="0"/>
          <w:sz w:val="24"/>
        </w:rPr>
      </w:pPr>
      <w:r>
        <w:rPr>
          <w:rFonts w:hint="eastAsia" w:ascii="宋体" w:hAnsi="宋体" w:cs="宋体"/>
          <w:kern w:val="0"/>
          <w:sz w:val="24"/>
        </w:rPr>
        <w:t>④对事故突发环境事件的防范措施和应急预案（包括收集运输、转移过程中的交通安全、环境安全、污染事故以及生态破坏等事故的风险控制方案等）进行详细阐述。</w:t>
      </w:r>
    </w:p>
    <w:p>
      <w:pPr>
        <w:spacing w:line="360" w:lineRule="auto"/>
        <w:ind w:left="479" w:leftChars="228" w:firstLine="12" w:firstLineChars="5"/>
        <w:rPr>
          <w:rFonts w:ascii="宋体" w:hAnsi="宋体" w:cs="宋体"/>
          <w:kern w:val="0"/>
          <w:sz w:val="24"/>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asciiTheme="minorHAnsi" w:hAnsiTheme="minorHAnsi" w:cstheme="minorBidi"/>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asciiTheme="minorHAnsi" w:hAnsiTheme="minorHAnsi" w:cstheme="minorBidi"/>
        </w:rPr>
      </w:pPr>
      <w:r>
        <w:rPr>
          <w:rStyle w:val="37"/>
          <w:rFonts w:hint="eastAsia" w:asciiTheme="minorHAnsi" w:hAnsiTheme="minorHAnsi" w:cstheme="minorBidi"/>
        </w:rPr>
        <w:t>第四章 合同主要条款</w:t>
      </w:r>
    </w:p>
    <w:p>
      <w:pPr>
        <w:spacing w:line="440" w:lineRule="exact"/>
        <w:jc w:val="center"/>
        <w:outlineLvl w:val="0"/>
        <w:rPr>
          <w:rStyle w:val="37"/>
          <w:rFonts w:asciiTheme="minorHAnsi" w:hAnsiTheme="minorHAnsi" w:cstheme="minorBidi"/>
          <w:sz w:val="28"/>
          <w:szCs w:val="28"/>
        </w:rPr>
      </w:pPr>
      <w:r>
        <w:rPr>
          <w:rStyle w:val="37"/>
          <w:rFonts w:hint="eastAsia" w:asciiTheme="minorHAnsi" w:hAnsiTheme="minorHAnsi" w:cstheme="minorBidi"/>
          <w:sz w:val="28"/>
          <w:szCs w:val="28"/>
        </w:rPr>
        <w:t>衢州学院废含汞试剂处置项目采购合同</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甲</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方：衢州学院</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乙</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r>
        <w:rPr>
          <w:rFonts w:hint="eastAsia" w:asciiTheme="minorEastAsia" w:hAnsiTheme="minorEastAsia" w:eastAsiaTheme="minorEastAsia"/>
          <w:bCs/>
          <w:color w:val="000000"/>
          <w:sz w:val="24"/>
        </w:rPr>
        <w:t>衢州市九华北大道</w:t>
      </w:r>
      <w:r>
        <w:rPr>
          <w:rFonts w:asciiTheme="minorEastAsia" w:hAnsiTheme="minorEastAsia" w:eastAsiaTheme="minorEastAsia"/>
          <w:bCs/>
          <w:color w:val="000000"/>
          <w:sz w:val="24"/>
        </w:rPr>
        <w:t>78</w:t>
      </w:r>
      <w:r>
        <w:rPr>
          <w:rFonts w:hint="eastAsia" w:asciiTheme="minorEastAsia" w:hAnsiTheme="minorEastAsia" w:eastAsiaTheme="minorEastAsia"/>
          <w:bCs/>
          <w:color w:val="000000"/>
          <w:sz w:val="24"/>
        </w:rPr>
        <w:t>号</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r>
        <w:rPr>
          <w:rFonts w:asciiTheme="minorEastAsia" w:hAnsiTheme="minorEastAsia" w:eastAsiaTheme="minorEastAsia"/>
          <w:color w:val="000000"/>
          <w:sz w:val="24"/>
        </w:rPr>
        <w:t xml:space="preserve">324000                       </w:t>
      </w: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联系人：</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p>
    <w:p>
      <w:pPr>
        <w:spacing w:line="440" w:lineRule="exact"/>
        <w:ind w:right="96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签约地点：浙江衢州</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环境保护法》、《中华人民共和国固体废物污染环境防治法》、《危险废物转移管理办法》及其他相关环境保护法律法规的规定，甲方为了进一步加强环境保护工作，甲方在对其收集的含汞危险废弃物委托乙方进行回收处置。甲、乙双方依照《中华人民共和国民法典》及相关环境和危险废弃物法律法规的相关规定，本着平等、互惠互利的原则，经双方友好协商，双方就含汞危险废弃物回收处置事宜，签订本合同如下：</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一、废弃物回收处置内容及标准</w:t>
      </w:r>
    </w:p>
    <w:tbl>
      <w:tblPr>
        <w:tblStyle w:val="18"/>
        <w:tblW w:w="0" w:type="auto"/>
        <w:tblInd w:w="7" w:type="dxa"/>
        <w:tblLayout w:type="fixed"/>
        <w:tblCellMar>
          <w:top w:w="15" w:type="dxa"/>
          <w:left w:w="15" w:type="dxa"/>
          <w:bottom w:w="15" w:type="dxa"/>
          <w:right w:w="15" w:type="dxa"/>
        </w:tblCellMar>
      </w:tblPr>
      <w:tblGrid>
        <w:gridCol w:w="2063"/>
        <w:gridCol w:w="2189"/>
        <w:gridCol w:w="2078"/>
        <w:gridCol w:w="2657"/>
      </w:tblGrid>
      <w:tr>
        <w:tblPrEx>
          <w:tblCellMar>
            <w:top w:w="15" w:type="dxa"/>
            <w:left w:w="15" w:type="dxa"/>
            <w:bottom w:w="15" w:type="dxa"/>
            <w:right w:w="15" w:type="dxa"/>
          </w:tblCellMar>
        </w:tblPrEx>
        <w:trPr>
          <w:trHeight w:val="468" w:hRule="atLeast"/>
        </w:trPr>
        <w:tc>
          <w:tcPr>
            <w:tcW w:w="20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名称</w:t>
            </w:r>
          </w:p>
        </w:tc>
        <w:tc>
          <w:tcPr>
            <w:tcW w:w="21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合同内容</w:t>
            </w:r>
          </w:p>
        </w:tc>
        <w:tc>
          <w:tcPr>
            <w:tcW w:w="2078" w:type="dxa"/>
            <w:vMerge w:val="restart"/>
            <w:tcBorders>
              <w:top w:val="single" w:color="000000" w:sz="4" w:space="0"/>
              <w:bottom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预计处置量</w:t>
            </w:r>
          </w:p>
        </w:tc>
        <w:tc>
          <w:tcPr>
            <w:tcW w:w="26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含税费用</w:t>
            </w:r>
          </w:p>
        </w:tc>
      </w:tr>
      <w:tr>
        <w:tblPrEx>
          <w:tblCellMar>
            <w:top w:w="15" w:type="dxa"/>
            <w:left w:w="15" w:type="dxa"/>
            <w:bottom w:w="15" w:type="dxa"/>
            <w:right w:w="15" w:type="dxa"/>
          </w:tblCellMar>
        </w:tblPrEx>
        <w:trPr>
          <w:trHeight w:val="468" w:hRule="atLeast"/>
        </w:trPr>
        <w:tc>
          <w:tcPr>
            <w:tcW w:w="20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宋体" w:asciiTheme="minorEastAsia" w:hAnsiTheme="minorEastAsia" w:eastAsiaTheme="minorEastAsia"/>
                <w:sz w:val="24"/>
              </w:rPr>
            </w:pPr>
          </w:p>
        </w:tc>
        <w:tc>
          <w:tcPr>
            <w:tcW w:w="218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宋体" w:asciiTheme="minorEastAsia" w:hAnsiTheme="minorEastAsia" w:eastAsiaTheme="minorEastAsia"/>
                <w:sz w:val="24"/>
              </w:rPr>
            </w:pPr>
          </w:p>
        </w:tc>
        <w:tc>
          <w:tcPr>
            <w:tcW w:w="2078" w:type="dxa"/>
            <w:vMerge w:val="continue"/>
            <w:tcBorders>
              <w:top w:val="single" w:color="000000" w:sz="4" w:space="0"/>
              <w:bottom w:val="single" w:color="000000" w:sz="4" w:space="0"/>
            </w:tcBorders>
            <w:vAlign w:val="center"/>
          </w:tcPr>
          <w:p>
            <w:pPr>
              <w:spacing w:line="360" w:lineRule="auto"/>
              <w:jc w:val="center"/>
              <w:rPr>
                <w:rFonts w:cs="宋体" w:asciiTheme="minorEastAsia" w:hAnsiTheme="minorEastAsia" w:eastAsiaTheme="minorEastAsia"/>
                <w:sz w:val="24"/>
              </w:rPr>
            </w:pPr>
          </w:p>
        </w:tc>
        <w:tc>
          <w:tcPr>
            <w:tcW w:w="265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宋体" w:asciiTheme="minorEastAsia" w:hAnsiTheme="minorEastAsia" w:eastAsiaTheme="minorEastAsia"/>
                <w:sz w:val="24"/>
              </w:rPr>
            </w:pPr>
          </w:p>
        </w:tc>
      </w:tr>
      <w:tr>
        <w:tblPrEx>
          <w:tblCellMar>
            <w:top w:w="15" w:type="dxa"/>
            <w:left w:w="15" w:type="dxa"/>
            <w:bottom w:w="15" w:type="dxa"/>
            <w:right w:w="15" w:type="dxa"/>
          </w:tblCellMar>
        </w:tblPrEx>
        <w:trPr>
          <w:trHeight w:val="634" w:hRule="atLeast"/>
        </w:trPr>
        <w:tc>
          <w:tcPr>
            <w:tcW w:w="20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kern w:val="0"/>
                <w:sz w:val="24"/>
                <w:lang w:bidi="ar"/>
              </w:rPr>
            </w:pPr>
            <w:r>
              <w:rPr>
                <w:rFonts w:hint="eastAsia" w:asciiTheme="minorEastAsia" w:hAnsiTheme="minorEastAsia" w:eastAsiaTheme="minorEastAsia"/>
                <w:sz w:val="24"/>
              </w:rPr>
              <w:t>衢州学院废含汞试剂处置项目</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kern w:val="0"/>
                <w:sz w:val="24"/>
                <w:lang w:bidi="ar"/>
              </w:rPr>
            </w:pPr>
            <w:r>
              <w:rPr>
                <w:rFonts w:hint="eastAsia" w:cs="宋体" w:asciiTheme="minorEastAsia" w:hAnsiTheme="minorEastAsia" w:eastAsiaTheme="minorEastAsia"/>
                <w:kern w:val="0"/>
                <w:sz w:val="24"/>
                <w:lang w:bidi="ar"/>
              </w:rPr>
              <w:t>含汞危险废弃物回收处置</w:t>
            </w:r>
          </w:p>
        </w:tc>
        <w:tc>
          <w:tcPr>
            <w:tcW w:w="20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p>
        </w:tc>
        <w:tc>
          <w:tcPr>
            <w:tcW w:w="2657"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eastAsiaTheme="minorEastAsia"/>
                <w:sz w:val="24"/>
              </w:rPr>
            </w:pPr>
          </w:p>
        </w:tc>
      </w:tr>
      <w:tr>
        <w:tblPrEx>
          <w:tblCellMar>
            <w:top w:w="15" w:type="dxa"/>
            <w:left w:w="15" w:type="dxa"/>
            <w:bottom w:w="15" w:type="dxa"/>
            <w:right w:w="15" w:type="dxa"/>
          </w:tblCellMar>
        </w:tblPrEx>
        <w:trPr>
          <w:trHeight w:val="414" w:hRule="atLeast"/>
        </w:trPr>
        <w:tc>
          <w:tcPr>
            <w:tcW w:w="89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备注：1.本项目处置内容包括单质汞（CAS号：7439-97-6，普通危化，重量约25公斤）、氯化汞（CAS号：7487-94-7，剧毒品，重量约4公斤）和氧化汞(II)红（CAS号：21908-53-2，剧毒品，重量约1公斤）。</w:t>
            </w:r>
          </w:p>
          <w:p>
            <w:pPr>
              <w:widowControl/>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2.总预算费用包含但不限于以下费用：①</w:t>
            </w:r>
            <w:r>
              <w:rPr>
                <w:rFonts w:hint="eastAsia" w:cs="宋体" w:asciiTheme="minorEastAsia" w:hAnsiTheme="minorEastAsia" w:eastAsiaTheme="minorEastAsia"/>
                <w:color w:val="000000"/>
                <w:sz w:val="24"/>
              </w:rPr>
              <w:t>回收处置</w:t>
            </w:r>
            <w:r>
              <w:rPr>
                <w:rFonts w:hint="eastAsia" w:cs="宋体" w:asciiTheme="minorEastAsia" w:hAnsiTheme="minorEastAsia" w:eastAsiaTheme="minorEastAsia"/>
                <w:sz w:val="24"/>
              </w:rPr>
              <w:t>含汞危险废弃物费用；②分类、识别标志、包装等费用；③含汞危险废弃物专用车辆运输及相关费用；④回收处置过程的资料收集费用以及完成本项目相关的其他所有费用。</w:t>
            </w:r>
          </w:p>
          <w:p>
            <w:pPr>
              <w:widowControl/>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3.本项目采用全包干形式，即总费用包干方式，合同总价包含所有产生的相关费用，均由乙方承担，甲方不再另行支付任何其他费用。</w:t>
            </w:r>
          </w:p>
          <w:p>
            <w:pPr>
              <w:widowControl/>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4.项目的标的物转移前需要妥善包装，并按照国家有关标准在外包装上设置相应的识别标志。如涉及到危险废物跨省转移手续的办理，危险废物跨省转移工作，可能需要一定的审批时间。为使项目顺利进行，需持有在有效期内的《危险废物经营许可证》等相关资质证书。</w:t>
            </w:r>
          </w:p>
          <w:p>
            <w:pPr>
              <w:widowControl/>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5.转移运输车辆是自有或委托的运输单位，应具有经营范围涵盖</w:t>
            </w:r>
            <w:r>
              <w:rPr>
                <w:rFonts w:hint="eastAsia" w:asciiTheme="minorEastAsia" w:hAnsiTheme="minorEastAsia" w:eastAsiaTheme="minorEastAsia"/>
                <w:sz w:val="24"/>
              </w:rPr>
              <w:t>含汞危险废弃物运输的</w:t>
            </w:r>
            <w:r>
              <w:rPr>
                <w:rFonts w:hint="eastAsia" w:cs="宋体" w:asciiTheme="minorEastAsia" w:hAnsiTheme="minorEastAsia" w:eastAsiaTheme="minorEastAsia"/>
                <w:sz w:val="24"/>
              </w:rPr>
              <w:t>《道路运输经营许可证》和《危险废物转移管理办法》等国家法律法规强制要求的资质（格）证书，驾驶员和押运员需具有从业资格类别含有道路危险货物运输驾驶员和剧毒化学品道路运输押运人员的《道路运输从业人员从业资格证书》和《危险废物转移管理办法》等国家法律法规强制要求的资质（格）证书。</w:t>
            </w:r>
            <w:r>
              <w:rPr>
                <w:rFonts w:hint="eastAsia" w:cs="宋体" w:asciiTheme="minorEastAsia" w:hAnsiTheme="minorEastAsia" w:eastAsiaTheme="minorEastAsia"/>
                <w:color w:val="000000"/>
                <w:sz w:val="24"/>
              </w:rPr>
              <w:t>如委托具备相应危险货物运输资质的单位承运危险废物，须依法签订运输合同。</w:t>
            </w:r>
          </w:p>
        </w:tc>
      </w:tr>
    </w:tbl>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二、废弃物的回收处置期限、地点</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1.自合同签字盖章后</w:t>
      </w:r>
      <w:r>
        <w:rPr>
          <w:rFonts w:hint="eastAsia" w:cs="宋体" w:asciiTheme="minorEastAsia" w:hAnsiTheme="minorEastAsia" w:eastAsiaTheme="minorEastAsia"/>
          <w:sz w:val="24"/>
          <w:u w:val="single"/>
        </w:rPr>
        <w:t>至本年度12月31号</w:t>
      </w:r>
      <w:r>
        <w:rPr>
          <w:rFonts w:hint="eastAsia" w:cs="宋体" w:asciiTheme="minorEastAsia" w:hAnsiTheme="minorEastAsia" w:eastAsiaTheme="minorEastAsia"/>
          <w:sz w:val="24"/>
        </w:rPr>
        <w:t xml:space="preserve">内有效。    </w:t>
      </w:r>
    </w:p>
    <w:p>
      <w:pPr>
        <w:spacing w:line="360" w:lineRule="auto"/>
        <w:ind w:firstLine="561"/>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2.含汞危险废弃物存放地点：</w:t>
      </w:r>
      <w:r>
        <w:rPr>
          <w:rFonts w:hint="eastAsia" w:cs="宋体" w:asciiTheme="minorEastAsia" w:hAnsiTheme="minorEastAsia" w:eastAsiaTheme="minorEastAsia"/>
          <w:sz w:val="24"/>
          <w:u w:val="single"/>
        </w:rPr>
        <w:t>甲方指定的地方</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三、含汞废弃物回收处置要求</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1.甲方办理完转移报批手续后，乙方必须严格按照国家相关法律法规要求对含汞危险废弃物进行包装、识别标志、储存、运输、回收处置等工作，避免产生二次污染或环境污染事故；</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甲方将含汞废弃物安全交付给乙方后，乙方必须按照国家相关的法律法规和技术规范、标准进行安全回收处置，在含汞危险废弃物转移过程中应当采取防扬散、防流失、防渗漏或者其他防止污染环境的措施，不得擅自倾倒、堆放、丢弃、遗撒危险废物，如发生交通安全、环境安全、污染事故以及生态破坏等事故均由乙方承担全部法律责任。</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乙方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.乙方在包装、识别标志、储存、运输、回收处置含汞危险废弃物工作过程中，必须严格遵守《中华人民共和国固体废物污染环境防治法》、《危险废物转移管理办法》等相关的法律法规和技术规范、标准等；</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含汞废弃物转移后乙方需委托有资质第三方检测机构进行检测，并出具具有CMA标志的专业检测报告，检测报告内容包括但不限于危险废物成分等，成交价已包含检测费用。若本项目标的物包含的危险废物不限于汞，乙方有责任依照相关规定负责将废物处置，甲方不再支付相关费用。</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rPr>
        <w:t>.乙方应当对运抵的含汞危险废弃物进行核实验收，在接受之日起五个工作日内通过国家危险废物信息管理系统确认接受。并将危险废物接受情况、利用或者处置结果及时告知甲方。</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四、服务方案</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乙方需根据本项目的特点和要求提供完善的服务方案，服务方案应包括但不限于以下内容：</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①对含汞危险废弃物转移的实施方案和管理计划（含汞危险废弃物的分类、识别标志、包装、储存、运输、回收处置实施方案、车辆设备的配备）进行详细阐述；</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②针对本项目提供的工作计划及保障措施进行详细阐述和说明；</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③对风险预警机制（包括收集运输、转移过程中的交通安全、环境安全、污染事故以及生态破坏等事故的风险控制方案等）进行详细阐述；</w:t>
      </w:r>
    </w:p>
    <w:p>
      <w:pPr>
        <w:spacing w:line="360" w:lineRule="auto"/>
        <w:ind w:firstLine="561"/>
        <w:jc w:val="left"/>
        <w:rPr>
          <w:rFonts w:cs="宋体" w:asciiTheme="minorEastAsia" w:hAnsiTheme="minorEastAsia" w:eastAsiaTheme="minorEastAsia"/>
          <w:sz w:val="24"/>
        </w:rPr>
      </w:pPr>
      <w:r>
        <w:rPr>
          <w:rFonts w:hint="eastAsia" w:cs="宋体" w:asciiTheme="minorEastAsia" w:hAnsiTheme="minorEastAsia" w:eastAsiaTheme="minorEastAsia"/>
          <w:sz w:val="24"/>
        </w:rPr>
        <w:t>④对事故突发环境事件的防范措施和应急预案（包括收集运输、转移过程中的交通安全、环境安全、污染事故以及生态破坏等事故的风险控制方案等）进行详细阐述。</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五、支付方式 </w:t>
      </w:r>
    </w:p>
    <w:p>
      <w:pPr>
        <w:spacing w:line="360" w:lineRule="auto"/>
        <w:ind w:firstLine="480" w:firstLineChars="200"/>
        <w:jc w:val="left"/>
        <w:rPr>
          <w:rFonts w:asciiTheme="minorEastAsia" w:hAnsiTheme="minorEastAsia" w:eastAsiaTheme="minorEastAsia"/>
          <w:color w:val="000000" w:themeColor="text1"/>
          <w:sz w:val="24"/>
          <w:highlight w:val="yellow"/>
        </w:rPr>
      </w:pPr>
      <w:r>
        <w:rPr>
          <w:rFonts w:cs="宋体" w:asciiTheme="minorEastAsia" w:hAnsiTheme="minorEastAsia" w:eastAsiaTheme="minorEastAsia"/>
          <w:color w:val="000000" w:themeColor="text1"/>
          <w:sz w:val="24"/>
          <w:shd w:val="clear" w:color="auto" w:fill="FFFFFF"/>
        </w:rPr>
        <w:t>1.</w:t>
      </w:r>
      <w:r>
        <w:rPr>
          <w:rFonts w:hint="eastAsia" w:asciiTheme="minorEastAsia" w:hAnsiTheme="minorEastAsia" w:eastAsiaTheme="minorEastAsia"/>
          <w:color w:val="171A1D"/>
          <w:sz w:val="24"/>
          <w:shd w:val="clear" w:color="auto" w:fill="FFFFFF"/>
        </w:rPr>
        <w:t>乙方缴纳合同总价的1%作为履约保证金，汇入甲方指定账户后，甲方分两次付款。第一次在合同签订且具备实施条件后的7个工作日内支付合同总价的40%作为预付款给乙方，第二次在项目完成并验收合格且具备实施条件后的10个工作日内支付合同余款,同时全额无息退还乙方的履约保证金。</w:t>
      </w:r>
    </w:p>
    <w:p>
      <w:pPr>
        <w:spacing w:line="360" w:lineRule="auto"/>
        <w:ind w:firstLine="480" w:firstLineChars="200"/>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2.</w:t>
      </w:r>
      <w:r>
        <w:rPr>
          <w:rFonts w:hint="eastAsia" w:cs="宋体" w:asciiTheme="minorEastAsia" w:hAnsiTheme="minorEastAsia" w:eastAsiaTheme="minorEastAsia"/>
          <w:color w:val="000000"/>
          <w:sz w:val="24"/>
        </w:rPr>
        <w:t>由乙方开具正规发票。</w:t>
      </w:r>
    </w:p>
    <w:p>
      <w:pPr>
        <w:spacing w:line="360" w:lineRule="auto"/>
        <w:ind w:firstLine="720" w:firstLineChars="300"/>
        <w:rPr>
          <w:rFonts w:asciiTheme="minorEastAsia" w:hAnsiTheme="minorEastAsia" w:eastAsiaTheme="minorEastAsia"/>
          <w:color w:val="000000"/>
          <w:sz w:val="24"/>
        </w:rPr>
      </w:pPr>
      <w:r>
        <w:rPr>
          <w:rFonts w:hint="eastAsia" w:asciiTheme="minorEastAsia" w:hAnsiTheme="minorEastAsia" w:eastAsiaTheme="minorEastAsia"/>
          <w:color w:val="000000"/>
          <w:sz w:val="24"/>
        </w:rPr>
        <w:t>乙方银行账户信息：</w:t>
      </w:r>
    </w:p>
    <w:p>
      <w:pPr>
        <w:spacing w:line="360" w:lineRule="auto"/>
        <w:ind w:firstLine="720" w:firstLineChars="300"/>
        <w:rPr>
          <w:rFonts w:asciiTheme="minorEastAsia" w:hAnsiTheme="minorEastAsia" w:eastAsiaTheme="minorEastAsia"/>
          <w:color w:val="000000"/>
          <w:sz w:val="24"/>
        </w:rPr>
      </w:pPr>
      <w:r>
        <w:rPr>
          <w:rFonts w:hint="eastAsia" w:asciiTheme="minorEastAsia" w:hAnsiTheme="minorEastAsia" w:eastAsiaTheme="minorEastAsia"/>
          <w:color w:val="000000"/>
          <w:sz w:val="24"/>
        </w:rPr>
        <w:t>户</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名：</w:t>
      </w:r>
    </w:p>
    <w:p>
      <w:pPr>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开户银行：</w:t>
      </w:r>
    </w:p>
    <w:p>
      <w:pPr>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银行账号：</w:t>
      </w:r>
    </w:p>
    <w:p>
      <w:pPr>
        <w:pStyle w:val="16"/>
        <w:ind w:left="732" w:leftChars="111" w:hanging="499" w:hangingChars="208"/>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税</w:t>
      </w:r>
      <w:r>
        <w:rPr>
          <w:rFonts w:asciiTheme="minorEastAsia" w:hAnsiTheme="minorEastAsia" w:eastAsiaTheme="minorEastAsia"/>
        </w:rPr>
        <w:t xml:space="preserve">    </w:t>
      </w:r>
      <w:r>
        <w:rPr>
          <w:rFonts w:hint="eastAsia" w:asciiTheme="minorEastAsia" w:hAnsiTheme="minorEastAsia" w:eastAsiaTheme="minorEastAsia"/>
        </w:rPr>
        <w:t>号：</w:t>
      </w: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六、甲方权利和义务</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1.审查乙方含汞危险废弃物经营许可证及其它相关资质；</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2.为乙方提供与履行合同有关的工作便利。</w:t>
      </w: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七、乙方权利和义务</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1.乙方从事含汞危险废弃物的收集、贮存、处置、利用的，须持有相应危险废弃物经营许可证；</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2.核实拟接受的含汞危险废弃物的种类、重量（数量）、包装、识别标志等相关信息；</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3.填写、运行含汞危险废弃物转移联单，在含汞危险废弃物转移联单中如实填写承运人名称、运输工具及其营运证件号，以及运输起点和终点等运输相关信息，并与含汞危险废弃物运单一并随运输工具携带；</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4.按照危险废物污染环境防治和危险货物运输相关规定运输含汞危险废弃物，记录运输轨迹，防范含汞危险废弃物丢失、包装破损、泄漏或者发生突发环境事件；</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5.将运输的含汞危险废弃物运抵乙方指定地址，交付给含汞危险废弃物转移联单上指定的接受人，并将运输情况及时告知甲方；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6.在含汞危险废弃物转移联单中如实填写接受的意见，以及利用、处置方式和接受量等信息；</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7.按照国家和地方有关规定和标准，对接受的含汞危险废弃物进行贮存、利用或者处置；</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8.将含汞危险废弃物接受情况、利用或者处置结果及时告知甲方；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9.根据含汞危险废弃物特性制定处置方案、事故应急预案及防范措施，并落实到位；</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10.将含汞危险废弃物特性及安全注意事项告知其相关人员，并提供必要的安全防护措施；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11.合同履行过程中应及时处理、协调与其他相关方之间的工作关系，并按照规定办理相关手续；</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12.法律法规规定的其他义务。</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八、保密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在合同履行期间，乙方对本项目的一切原始资料、信息负有保密义务。</w:t>
      </w:r>
    </w:p>
    <w:p>
      <w:pPr>
        <w:spacing w:line="360" w:lineRule="auto"/>
        <w:ind w:firstLine="482" w:firstLineChars="200"/>
        <w:outlineLvl w:val="0"/>
        <w:rPr>
          <w:rFonts w:cs="宋体" w:asciiTheme="minorEastAsia" w:hAnsiTheme="minorEastAsia" w:eastAsiaTheme="minorEastAsia"/>
          <w:sz w:val="24"/>
        </w:rPr>
      </w:pPr>
      <w:r>
        <w:rPr>
          <w:rFonts w:hint="eastAsia" w:cs="宋体" w:asciiTheme="minorEastAsia" w:hAnsiTheme="minorEastAsia" w:eastAsiaTheme="minorEastAsia"/>
          <w:b/>
          <w:sz w:val="24"/>
        </w:rPr>
        <w:t>九、不可抗力</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1.不可抗力事件指合同当事人不能预见、不能避免、不能克服的客观情况，包括但不限于地震、水灾、雷击、雪灾等自然事件以及战争、罢工等社会事件；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en-US" w:eastAsia="zh-CN"/>
        </w:rPr>
        <w:t>.</w:t>
      </w:r>
      <w:r>
        <w:rPr>
          <w:rFonts w:hint="eastAsia" w:cs="宋体" w:asciiTheme="minorEastAsia" w:hAnsiTheme="minorEastAsia" w:eastAsiaTheme="minorEastAsia"/>
          <w:sz w:val="24"/>
        </w:rPr>
        <w:t>由于不可抗力原因，使双方或任何一方不能履行合同义务时，应采取有效措施，尽量避免或减少损失，将损失降低到最低程度，并在不可抗力发生后</w:t>
      </w:r>
      <w:r>
        <w:rPr>
          <w:rFonts w:hint="eastAsia" w:cs="宋体" w:asciiTheme="minorEastAsia" w:hAnsiTheme="minorEastAsia" w:eastAsiaTheme="minorEastAsia"/>
          <w:sz w:val="24"/>
          <w:u w:val="single"/>
        </w:rPr>
        <w:t>72</w:t>
      </w:r>
      <w:r>
        <w:rPr>
          <w:rFonts w:hint="eastAsia" w:cs="宋体" w:asciiTheme="minorEastAsia" w:hAnsiTheme="minorEastAsia" w:eastAsiaTheme="minorEastAsia"/>
          <w:sz w:val="24"/>
        </w:rPr>
        <w:t>小时内以书面形式通知对方，并在其后3日内向对方提供有效证明文件；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因不可抗力致使合同无法按期履行或不能履行所造成的损失由双方依责各自承担。一方未尽通知义务或未采取措施避免、减少损失的，应就扩大的损失承担相应的赔偿责任。</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十、违约责任</w:t>
      </w:r>
    </w:p>
    <w:p>
      <w:pPr>
        <w:spacing w:line="360" w:lineRule="auto"/>
        <w:ind w:firstLine="561"/>
        <w:rPr>
          <w:rFonts w:cs="宋体" w:asciiTheme="minorEastAsia" w:hAnsiTheme="minorEastAsia" w:eastAsiaTheme="minorEastAsia"/>
          <w:sz w:val="24"/>
        </w:rPr>
      </w:pPr>
      <w:r>
        <w:rPr>
          <w:rFonts w:hint="eastAsia" w:cs="宋体" w:asciiTheme="minorEastAsia" w:hAnsiTheme="minorEastAsia" w:eastAsiaTheme="minorEastAsia"/>
          <w:sz w:val="24"/>
        </w:rPr>
        <w:t>1.合同签订后，甲方应在合同有效期内将含汞废弃物转交给乙方回收处置，逾期后乙方有权不接收该批次含汞废弃物。</w:t>
      </w:r>
    </w:p>
    <w:p>
      <w:pPr>
        <w:spacing w:line="360" w:lineRule="auto"/>
        <w:ind w:firstLine="561"/>
        <w:rPr>
          <w:rFonts w:cs="宋体" w:asciiTheme="minorEastAsia" w:hAnsiTheme="minorEastAsia" w:eastAsiaTheme="minorEastAsia"/>
          <w:sz w:val="24"/>
        </w:rPr>
      </w:pPr>
      <w:r>
        <w:rPr>
          <w:rFonts w:hint="eastAsia" w:cs="宋体" w:asciiTheme="minorEastAsia" w:hAnsiTheme="minorEastAsia" w:eastAsiaTheme="minorEastAsia"/>
          <w:sz w:val="24"/>
        </w:rPr>
        <w:t>2.合同双方中任何一方违反本合同规定，守约方有权要求违约方停止并纠正违约行为，造成守约方经济以及其他方面损失的，违约方应予以赔偿。</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十一、验收要求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乙方需在含汞危险废弃物安全回收处置后将①分类、识别标志、包装过程；②含汞危险废弃物危险货物运单、运输车辆行驶轨迹信息，运输车辆限制通行区域信息；③含汞危险废弃物转移联单；④含汞危险废弃物处置的说明、过程的图片及文件；⑤含汞危险废弃物回收处置结果；⑥检测报告等其它有关材料,整理归档、装订成册，形成可追溯的过程资料（一式三份），在乙方办理第二期申请支付费用手续时将追溯的过程资料移交给甲方。其中危险废物电子转移联单数据应当在国家危险废物信息管理系统中至少保存十年。</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若发现追溯的过程资料有弄虚作假的，或者不按相关法律规定回收处置含汞危险废弃物的，经核查情况属实的，由乙方承担全部法律责任，甲方有权拒绝支付项目经费。</w:t>
      </w:r>
    </w:p>
    <w:p>
      <w:pPr>
        <w:spacing w:line="360" w:lineRule="auto"/>
        <w:ind w:firstLine="561"/>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十二、争议的解决 </w:t>
      </w:r>
    </w:p>
    <w:p>
      <w:pPr>
        <w:spacing w:line="360" w:lineRule="auto"/>
        <w:ind w:firstLine="561"/>
        <w:rPr>
          <w:rFonts w:cs="宋体" w:asciiTheme="minorEastAsia" w:hAnsiTheme="minorEastAsia" w:eastAsiaTheme="minorEastAsia"/>
          <w:sz w:val="24"/>
        </w:rPr>
      </w:pPr>
      <w:r>
        <w:rPr>
          <w:rFonts w:hint="eastAsia" w:cs="宋体" w:asciiTheme="minorEastAsia" w:hAnsiTheme="minorEastAsia" w:eastAsiaTheme="minorEastAsia"/>
          <w:sz w:val="24"/>
        </w:rPr>
        <w:t>本合同履行过程中发生纠纷，双方应友好协商解决。协商不成的，应向甲方当地仲裁委员会申请仲裁或向甲方当地人民法院提起诉讼。</w:t>
      </w:r>
    </w:p>
    <w:p>
      <w:pPr>
        <w:spacing w:line="360" w:lineRule="auto"/>
        <w:ind w:firstLine="561"/>
        <w:outlineLvl w:val="0"/>
        <w:rPr>
          <w:rFonts w:cs="宋体" w:asciiTheme="minorEastAsia" w:hAnsiTheme="minorEastAsia" w:eastAsiaTheme="minorEastAsia"/>
          <w:sz w:val="24"/>
        </w:rPr>
      </w:pPr>
      <w:r>
        <w:rPr>
          <w:rFonts w:hint="eastAsia" w:cs="宋体" w:asciiTheme="minorEastAsia" w:hAnsiTheme="minorEastAsia" w:eastAsiaTheme="minorEastAsia"/>
          <w:b/>
          <w:sz w:val="24"/>
        </w:rPr>
        <w:t>十三、合同效力及其他约定</w:t>
      </w:r>
    </w:p>
    <w:p>
      <w:pPr>
        <w:spacing w:line="360" w:lineRule="auto"/>
        <w:ind w:firstLine="561"/>
        <w:rPr>
          <w:rFonts w:cs="宋体" w:asciiTheme="minorEastAsia" w:hAnsiTheme="minorEastAsia" w:eastAsiaTheme="minorEastAsia"/>
          <w:sz w:val="24"/>
        </w:rPr>
      </w:pPr>
      <w:r>
        <w:rPr>
          <w:rFonts w:hint="eastAsia" w:cs="宋体" w:asciiTheme="minorEastAsia" w:hAnsiTheme="minorEastAsia" w:eastAsiaTheme="minorEastAsia"/>
          <w:sz w:val="24"/>
        </w:rPr>
        <w:t>1.本合同经甲乙双方负责人签字并加盖单位合同印章之日起生效。</w:t>
      </w:r>
    </w:p>
    <w:p>
      <w:pPr>
        <w:spacing w:line="360" w:lineRule="auto"/>
        <w:ind w:firstLine="561"/>
        <w:rPr>
          <w:rFonts w:cs="宋体" w:asciiTheme="minorEastAsia" w:hAnsiTheme="minorEastAsia" w:eastAsiaTheme="minorEastAsia"/>
          <w:sz w:val="24"/>
        </w:rPr>
      </w:pPr>
      <w:r>
        <w:rPr>
          <w:rFonts w:hint="eastAsia" w:cs="宋体" w:asciiTheme="minorEastAsia" w:hAnsiTheme="minorEastAsia" w:eastAsiaTheme="minorEastAsia"/>
          <w:sz w:val="24"/>
        </w:rPr>
        <w:t>2.本合同未尽事宜，由甲乙双方另行签订书面补充协议，补充协议与本合同内容不一致的，以补充协议为准，补充协议具备同等法律效力。</w:t>
      </w:r>
    </w:p>
    <w:p>
      <w:pPr>
        <w:spacing w:line="360" w:lineRule="auto"/>
        <w:ind w:firstLine="561"/>
        <w:rPr>
          <w:rFonts w:cs="宋体" w:asciiTheme="minorEastAsia" w:hAnsiTheme="minorEastAsia" w:eastAsiaTheme="minorEastAsia"/>
          <w:sz w:val="24"/>
          <w:u w:val="single"/>
        </w:rPr>
      </w:pPr>
      <w:r>
        <w:rPr>
          <w:rFonts w:hint="eastAsia" w:cs="宋体" w:asciiTheme="minorEastAsia" w:hAnsiTheme="minorEastAsia" w:eastAsiaTheme="minorEastAsia"/>
          <w:sz w:val="24"/>
        </w:rPr>
        <w:t>3.本合同一式</w:t>
      </w:r>
      <w:r>
        <w:rPr>
          <w:rFonts w:hint="eastAsia" w:cs="宋体" w:asciiTheme="minorEastAsia" w:hAnsiTheme="minorEastAsia" w:eastAsiaTheme="minorEastAsia"/>
          <w:sz w:val="24"/>
          <w:u w:val="single"/>
        </w:rPr>
        <w:t>6</w:t>
      </w:r>
      <w:r>
        <w:rPr>
          <w:rFonts w:hint="eastAsia" w:cs="宋体" w:asciiTheme="minorEastAsia" w:hAnsiTheme="minorEastAsia" w:eastAsiaTheme="minorEastAsia"/>
          <w:sz w:val="24"/>
        </w:rPr>
        <w:t>份，甲方执</w:t>
      </w:r>
      <w:r>
        <w:rPr>
          <w:rFonts w:hint="eastAsia" w:cs="宋体" w:asciiTheme="minorEastAsia" w:hAnsiTheme="minorEastAsia" w:eastAsiaTheme="minorEastAsia"/>
          <w:sz w:val="24"/>
          <w:u w:val="single"/>
        </w:rPr>
        <w:t>2</w:t>
      </w:r>
      <w:r>
        <w:rPr>
          <w:rFonts w:hint="eastAsia" w:cs="宋体" w:asciiTheme="minorEastAsia" w:hAnsiTheme="minorEastAsia" w:eastAsiaTheme="minorEastAsia"/>
          <w:sz w:val="24"/>
        </w:rPr>
        <w:t>份，乙方执</w:t>
      </w:r>
      <w:r>
        <w:rPr>
          <w:rFonts w:hint="eastAsia" w:cs="宋体" w:asciiTheme="minorEastAsia" w:hAnsiTheme="minorEastAsia" w:eastAsiaTheme="minorEastAsia"/>
          <w:sz w:val="24"/>
          <w:u w:val="single"/>
        </w:rPr>
        <w:t>2</w:t>
      </w:r>
      <w:r>
        <w:rPr>
          <w:rFonts w:hint="eastAsia" w:cs="宋体" w:asciiTheme="minorEastAsia" w:hAnsiTheme="minorEastAsia" w:eastAsiaTheme="minorEastAsia"/>
          <w:sz w:val="24"/>
        </w:rPr>
        <w:t>份，余下</w:t>
      </w:r>
      <w:r>
        <w:rPr>
          <w:rFonts w:hint="eastAsia" w:cs="宋体" w:asciiTheme="minorEastAsia" w:hAnsiTheme="minorEastAsia" w:eastAsiaTheme="minorEastAsia"/>
          <w:sz w:val="24"/>
          <w:u w:val="single"/>
        </w:rPr>
        <w:t>2</w:t>
      </w:r>
      <w:r>
        <w:rPr>
          <w:rFonts w:hint="eastAsia" w:cs="宋体" w:asciiTheme="minorEastAsia" w:hAnsiTheme="minorEastAsia" w:eastAsiaTheme="minorEastAsia"/>
          <w:sz w:val="24"/>
        </w:rPr>
        <w:t>份交由生态环境部门存档报批使用，具备同等法律效力。</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pStyle w:val="2"/>
        <w:spacing w:line="360" w:lineRule="auto"/>
        <w:rPr>
          <w:rFonts w:cs="宋体" w:asciiTheme="minorEastAsia" w:hAnsiTheme="minorEastAsia" w:eastAsiaTheme="minorEastAsia"/>
          <w:sz w:val="24"/>
          <w:szCs w:val="24"/>
        </w:rPr>
      </w:pP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甲方单位名称（公章）：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乙方单位名称（公章）：</w:t>
      </w:r>
    </w:p>
    <w:p>
      <w:pPr>
        <w:spacing w:line="360" w:lineRule="auto"/>
        <w:ind w:firstLine="480"/>
        <w:rPr>
          <w:rFonts w:asciiTheme="minorEastAsia" w:hAnsiTheme="minorEastAsia" w:eastAsiaTheme="minorEastAsia"/>
          <w:color w:val="000000" w:themeColor="text1"/>
          <w:sz w:val="24"/>
        </w:rPr>
      </w:pPr>
    </w:p>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法定代表人或授权代表(签字)：　　　　法定代表人或授权代表(签字)：</w:t>
      </w:r>
    </w:p>
    <w:p>
      <w:pPr>
        <w:spacing w:line="360" w:lineRule="auto"/>
        <w:ind w:firstLine="480" w:firstLineChars="200"/>
        <w:jc w:val="right"/>
        <w:rPr>
          <w:rFonts w:asciiTheme="minorEastAsia" w:hAnsiTheme="minorEastAsia" w:eastAsiaTheme="minorEastAsia"/>
          <w:color w:val="000000"/>
          <w:sz w:val="24"/>
        </w:rPr>
      </w:pPr>
    </w:p>
    <w:p>
      <w:pPr>
        <w:spacing w:line="360" w:lineRule="auto"/>
        <w:ind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合同签订日期：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年　月　日</w:t>
      </w:r>
    </w:p>
    <w:p>
      <w:pPr>
        <w:spacing w:line="360"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本合同均为打印版本，未加盖甲方公章的手写部分无效。　</w:t>
      </w: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jc w:val="left"/>
        <w:rPr>
          <w:rFonts w:ascii="宋体" w:hAnsi="宋体"/>
          <w:color w:val="000000"/>
          <w:sz w:val="24"/>
        </w:rPr>
      </w:pPr>
    </w:p>
    <w:p>
      <w:pPr>
        <w:spacing w:line="360" w:lineRule="auto"/>
        <w:ind w:firstLine="480" w:firstLineChars="200"/>
        <w:jc w:val="left"/>
        <w:rPr>
          <w:rFonts w:ascii="宋体" w:hAnsi="宋体"/>
          <w:color w:val="000000"/>
          <w:sz w:val="24"/>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rStyle w:val="37"/>
          <w:rFonts w:hint="eastAsia" w:asciiTheme="minorHAnsi" w:hAnsiTheme="minorHAnsi" w:cstheme="minorBidi"/>
        </w:rPr>
      </w:pPr>
    </w:p>
    <w:p>
      <w:pPr>
        <w:spacing w:line="360" w:lineRule="auto"/>
        <w:jc w:val="center"/>
        <w:outlineLvl w:val="0"/>
        <w:rPr>
          <w:rStyle w:val="37"/>
          <w:rFonts w:asciiTheme="minorHAnsi" w:hAnsiTheme="minorHAnsi" w:cstheme="minorBidi"/>
        </w:rPr>
      </w:pPr>
      <w:r>
        <w:rPr>
          <w:rStyle w:val="37"/>
          <w:rFonts w:hint="eastAsia" w:asciiTheme="minorHAnsi" w:hAnsiTheme="minorHAnsi" w:cstheme="minorBidi"/>
        </w:rPr>
        <w:t>第五章  评标办法及开标程序</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7.如投标人总分相同，按投标报价低者为中标侯选单位。</w:t>
      </w:r>
    </w:p>
    <w:p>
      <w:pPr>
        <w:autoSpaceDE w:val="0"/>
        <w:autoSpaceDN w:val="0"/>
        <w:adjustRightInd w:val="0"/>
        <w:spacing w:line="500" w:lineRule="exact"/>
        <w:ind w:firstLine="480" w:firstLineChars="200"/>
        <w:rPr>
          <w:rFonts w:hint="eastAsia" w:hAnsi="宋体" w:cs="宋体"/>
          <w:bCs/>
          <w:sz w:val="24"/>
        </w:rPr>
      </w:pPr>
      <w:r>
        <w:rPr>
          <w:rFonts w:hint="eastAsia" w:hAnsi="宋体" w:cs="宋体"/>
          <w:bCs/>
          <w:sz w:val="24"/>
        </w:rPr>
        <w:t>8.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pStyle w:val="2"/>
        <w:rPr>
          <w:rFonts w:hint="eastAsia" w:hAnsi="宋体" w:cs="宋体"/>
          <w:bCs/>
          <w:sz w:val="24"/>
        </w:rPr>
      </w:pPr>
    </w:p>
    <w:p>
      <w:pPr>
        <w:rPr>
          <w:rFonts w:hint="eastAsia" w:hAnsi="宋体" w:cs="宋体"/>
          <w:bCs/>
          <w:sz w:val="24"/>
        </w:rPr>
      </w:pPr>
    </w:p>
    <w:p>
      <w:pPr>
        <w:pStyle w:val="2"/>
      </w:pPr>
    </w:p>
    <w:p>
      <w:pPr>
        <w:pStyle w:val="25"/>
        <w:widowControl w:val="0"/>
        <w:numPr>
          <w:ilvl w:val="0"/>
          <w:numId w:val="3"/>
        </w:numPr>
        <w:overflowPunct/>
        <w:autoSpaceDE/>
        <w:autoSpaceDN/>
        <w:adjustRightInd/>
        <w:snapToGrid w:val="0"/>
        <w:spacing w:line="500" w:lineRule="exact"/>
        <w:ind w:firstLine="482"/>
        <w:jc w:val="both"/>
        <w:textAlignment w:val="auto"/>
        <w:rPr>
          <w:rFonts w:hAnsi="宋体" w:cs="宋体"/>
          <w:b/>
          <w:bCs/>
          <w:sz w:val="24"/>
        </w:rPr>
      </w:pPr>
      <w:r>
        <w:rPr>
          <w:rFonts w:hint="eastAsia" w:hAnsi="宋体" w:cs="宋体"/>
          <w:b/>
          <w:sz w:val="24"/>
        </w:rPr>
        <w:t>评定内容及评标标准</w:t>
      </w:r>
      <w:r>
        <w:rPr>
          <w:rFonts w:hint="eastAsia" w:hAnsi="宋体" w:cs="宋体"/>
          <w:b/>
          <w:bCs/>
          <w:sz w:val="24"/>
        </w:rPr>
        <w:t xml:space="preserve">  </w:t>
      </w:r>
    </w:p>
    <w:tbl>
      <w:tblPr>
        <w:tblStyle w:val="18"/>
        <w:tblpPr w:leftFromText="180" w:rightFromText="180" w:vertAnchor="text" w:horzAnchor="page" w:tblpX="1451" w:tblpY="194"/>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65"/>
        <w:gridCol w:w="601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6" w:type="dxa"/>
            <w:vAlign w:val="center"/>
          </w:tcPr>
          <w:p>
            <w:pPr>
              <w:widowControl/>
              <w:spacing w:line="460" w:lineRule="exact"/>
              <w:jc w:val="center"/>
              <w:rPr>
                <w:rFonts w:ascii="宋体" w:hAnsi="宋体" w:cs="仿宋_GB2312"/>
                <w:b/>
                <w:color w:val="000000" w:themeColor="text1"/>
                <w:sz w:val="24"/>
              </w:rPr>
            </w:pPr>
            <w:r>
              <w:rPr>
                <w:rFonts w:hint="eastAsia" w:ascii="宋体" w:hAnsi="宋体" w:cs="仿宋_GB2312"/>
                <w:b/>
                <w:color w:val="000000" w:themeColor="text1"/>
                <w:sz w:val="24"/>
              </w:rPr>
              <w:t>类</w:t>
            </w:r>
            <w:r>
              <w:rPr>
                <w:rFonts w:ascii="宋体" w:hAnsi="宋体" w:cs="仿宋_GB2312"/>
                <w:b/>
                <w:color w:val="000000" w:themeColor="text1"/>
                <w:sz w:val="24"/>
              </w:rPr>
              <w:t xml:space="preserve">  </w:t>
            </w:r>
            <w:r>
              <w:rPr>
                <w:rFonts w:hint="eastAsia" w:ascii="宋体" w:hAnsi="宋体" w:cs="仿宋_GB2312"/>
                <w:b/>
                <w:color w:val="000000" w:themeColor="text1"/>
                <w:sz w:val="24"/>
              </w:rPr>
              <w:t>别</w:t>
            </w:r>
          </w:p>
        </w:tc>
        <w:tc>
          <w:tcPr>
            <w:tcW w:w="1365" w:type="dxa"/>
            <w:vAlign w:val="center"/>
          </w:tcPr>
          <w:p>
            <w:pPr>
              <w:widowControl/>
              <w:spacing w:line="460" w:lineRule="exact"/>
              <w:jc w:val="center"/>
              <w:rPr>
                <w:rFonts w:ascii="宋体" w:hAnsi="宋体" w:cs="仿宋_GB2312"/>
                <w:b/>
                <w:color w:val="000000" w:themeColor="text1"/>
                <w:sz w:val="24"/>
              </w:rPr>
            </w:pPr>
            <w:r>
              <w:rPr>
                <w:rFonts w:hint="eastAsia" w:ascii="宋体" w:hAnsi="宋体" w:cs="仿宋_GB2312"/>
                <w:b/>
                <w:color w:val="000000" w:themeColor="text1"/>
                <w:sz w:val="24"/>
              </w:rPr>
              <w:t>项</w:t>
            </w:r>
            <w:r>
              <w:rPr>
                <w:rFonts w:ascii="宋体" w:hAnsi="宋体" w:cs="仿宋_GB2312"/>
                <w:b/>
                <w:color w:val="000000" w:themeColor="text1"/>
                <w:sz w:val="24"/>
              </w:rPr>
              <w:t xml:space="preserve">  </w:t>
            </w:r>
            <w:r>
              <w:rPr>
                <w:rFonts w:hint="eastAsia" w:ascii="宋体" w:hAnsi="宋体" w:cs="仿宋_GB2312"/>
                <w:b/>
                <w:color w:val="000000" w:themeColor="text1"/>
                <w:sz w:val="24"/>
              </w:rPr>
              <w:t>目</w:t>
            </w:r>
          </w:p>
        </w:tc>
        <w:tc>
          <w:tcPr>
            <w:tcW w:w="6012" w:type="dxa"/>
            <w:vAlign w:val="center"/>
          </w:tcPr>
          <w:p>
            <w:pPr>
              <w:widowControl/>
              <w:spacing w:line="460" w:lineRule="exact"/>
              <w:jc w:val="center"/>
              <w:rPr>
                <w:rFonts w:ascii="宋体" w:hAnsi="宋体" w:cs="仿宋_GB2312"/>
                <w:b/>
                <w:color w:val="000000" w:themeColor="text1"/>
                <w:sz w:val="24"/>
              </w:rPr>
            </w:pPr>
            <w:r>
              <w:rPr>
                <w:rFonts w:hint="eastAsia" w:ascii="宋体" w:hAnsi="宋体" w:cs="仿宋_GB2312"/>
                <w:b/>
                <w:color w:val="000000" w:themeColor="text1"/>
                <w:sz w:val="24"/>
              </w:rPr>
              <w:t>具体描述</w:t>
            </w:r>
          </w:p>
        </w:tc>
        <w:tc>
          <w:tcPr>
            <w:tcW w:w="844" w:type="dxa"/>
            <w:vAlign w:val="center"/>
          </w:tcPr>
          <w:p>
            <w:pPr>
              <w:widowControl/>
              <w:spacing w:line="460" w:lineRule="exact"/>
              <w:jc w:val="center"/>
              <w:rPr>
                <w:rFonts w:ascii="宋体" w:hAnsi="宋体" w:cs="仿宋_GB2312"/>
                <w:b/>
                <w:color w:val="000000" w:themeColor="text1"/>
                <w:sz w:val="24"/>
              </w:rPr>
            </w:pPr>
            <w:r>
              <w:rPr>
                <w:rFonts w:hint="eastAsia" w:ascii="宋体" w:hAnsi="宋体" w:cs="仿宋_GB2312"/>
                <w:b/>
                <w:color w:val="000000" w:themeColor="text1"/>
                <w:sz w:val="24"/>
              </w:rPr>
              <w:t>分</w:t>
            </w:r>
            <w:r>
              <w:rPr>
                <w:rFonts w:ascii="宋体" w:hAnsi="宋体" w:cs="仿宋_GB2312"/>
                <w:b/>
                <w:color w:val="000000" w:themeColor="text1"/>
                <w:sz w:val="24"/>
              </w:rPr>
              <w:t xml:space="preserve"> </w:t>
            </w:r>
            <w:r>
              <w:rPr>
                <w:rFonts w:hint="eastAsia" w:ascii="宋体" w:hAnsi="宋体" w:cs="仿宋_GB2312"/>
                <w:b/>
                <w:color w:val="000000" w:themeColor="text1"/>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236" w:type="dxa"/>
            <w:vAlign w:val="center"/>
          </w:tcPr>
          <w:p>
            <w:pPr>
              <w:widowControl/>
              <w:spacing w:line="360" w:lineRule="exact"/>
              <w:jc w:val="center"/>
              <w:rPr>
                <w:rFonts w:ascii="宋体" w:hAnsi="宋体"/>
                <w:color w:val="000000" w:themeColor="text1"/>
                <w:sz w:val="24"/>
              </w:rPr>
            </w:pPr>
            <w:r>
              <w:rPr>
                <w:rFonts w:hint="eastAsia" w:ascii="宋体" w:hAnsi="宋体"/>
                <w:color w:val="000000" w:themeColor="text1"/>
                <w:sz w:val="24"/>
              </w:rPr>
              <w:t>报价分</w:t>
            </w:r>
          </w:p>
          <w:p>
            <w:pPr>
              <w:widowControl/>
              <w:spacing w:line="360" w:lineRule="exact"/>
              <w:jc w:val="center"/>
              <w:rPr>
                <w:rFonts w:ascii="宋体" w:hAnsi="宋体" w:cs="仿宋_GB2312"/>
                <w:color w:val="000000" w:themeColor="text1"/>
                <w:sz w:val="24"/>
              </w:rPr>
            </w:pPr>
            <w:r>
              <w:rPr>
                <w:rFonts w:hint="eastAsia" w:ascii="宋体" w:hAnsi="宋体"/>
                <w:color w:val="000000" w:themeColor="text1"/>
                <w:sz w:val="24"/>
                <w:lang w:val="en-US" w:eastAsia="zh-CN"/>
              </w:rPr>
              <w:t>30</w:t>
            </w:r>
            <w:r>
              <w:rPr>
                <w:rFonts w:hint="eastAsia" w:ascii="宋体" w:hAnsi="宋体"/>
                <w:color w:val="000000" w:themeColor="text1"/>
                <w:sz w:val="24"/>
              </w:rPr>
              <w:t>分</w:t>
            </w:r>
          </w:p>
        </w:tc>
        <w:tc>
          <w:tcPr>
            <w:tcW w:w="1365" w:type="dxa"/>
            <w:vAlign w:val="center"/>
          </w:tcPr>
          <w:p>
            <w:pPr>
              <w:widowControl/>
              <w:spacing w:line="360" w:lineRule="exact"/>
              <w:jc w:val="center"/>
              <w:rPr>
                <w:rFonts w:ascii="宋体" w:hAnsi="宋体"/>
                <w:color w:val="000000" w:themeColor="text1"/>
                <w:sz w:val="24"/>
              </w:rPr>
            </w:pPr>
            <w:r>
              <w:rPr>
                <w:rFonts w:hint="eastAsia" w:ascii="宋体" w:hAnsi="宋体"/>
                <w:color w:val="000000" w:themeColor="text1"/>
                <w:sz w:val="24"/>
              </w:rPr>
              <w:t>报价</w:t>
            </w:r>
          </w:p>
          <w:p>
            <w:pPr>
              <w:widowControl/>
              <w:spacing w:line="360" w:lineRule="exact"/>
              <w:jc w:val="center"/>
              <w:rPr>
                <w:rFonts w:ascii="宋体" w:hAnsi="宋体"/>
                <w:color w:val="000000" w:themeColor="text1"/>
                <w:sz w:val="24"/>
              </w:rPr>
            </w:pP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本次采购项目预算：</w:t>
            </w:r>
            <w:r>
              <w:rPr>
                <w:rFonts w:hint="eastAsia" w:ascii="宋体" w:hAnsi="宋体"/>
                <w:color w:val="000000" w:themeColor="text1"/>
                <w:sz w:val="24"/>
                <w:lang w:val="en-US" w:eastAsia="zh-CN"/>
              </w:rPr>
              <w:t>32.5</w:t>
            </w:r>
            <w:r>
              <w:rPr>
                <w:rFonts w:hint="eastAsia" w:ascii="宋体" w:hAnsi="宋体"/>
                <w:color w:val="000000" w:themeColor="text1"/>
                <w:sz w:val="24"/>
              </w:rPr>
              <w:t>万元。基准价为所有投标人有效报价的最低价，投标报价得分=(基准价/投标报价)×</w:t>
            </w:r>
            <w:r>
              <w:rPr>
                <w:rFonts w:hint="eastAsia" w:ascii="宋体" w:hAnsi="宋体"/>
                <w:color w:val="000000" w:themeColor="text1"/>
                <w:sz w:val="24"/>
                <w:lang w:val="en-US" w:eastAsia="zh-CN"/>
              </w:rPr>
              <w:t>30</w:t>
            </w:r>
            <w:r>
              <w:rPr>
                <w:rFonts w:hint="eastAsia" w:ascii="宋体" w:hAnsi="宋体"/>
                <w:color w:val="000000" w:themeColor="text1"/>
                <w:sz w:val="24"/>
              </w:rPr>
              <w:t>，四舍五入，保留两位小数。报价高于预算价格的，为无效投标文件。</w:t>
            </w:r>
          </w:p>
        </w:tc>
        <w:tc>
          <w:tcPr>
            <w:tcW w:w="844" w:type="dxa"/>
            <w:vAlign w:val="center"/>
          </w:tcPr>
          <w:p>
            <w:pPr>
              <w:widowControl/>
              <w:spacing w:line="300" w:lineRule="exact"/>
              <w:jc w:val="center"/>
              <w:rPr>
                <w:rFonts w:ascii="宋体" w:hAnsi="宋体"/>
                <w:color w:val="000000" w:themeColor="text1"/>
                <w:sz w:val="24"/>
              </w:rPr>
            </w:pPr>
            <w:r>
              <w:rPr>
                <w:rFonts w:hint="eastAsia" w:ascii="宋体" w:hAnsi="宋体"/>
                <w:color w:val="000000" w:themeColor="text1"/>
                <w:sz w:val="24"/>
                <w:lang w:val="en-US" w:eastAsia="zh-CN"/>
              </w:rPr>
              <w:t>30</w:t>
            </w:r>
            <w:r>
              <w:rPr>
                <w:rFonts w:hint="eastAsia" w:ascii="宋体" w:hAnsi="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36" w:type="dxa"/>
            <w:vMerge w:val="restart"/>
            <w:vAlign w:val="center"/>
          </w:tcPr>
          <w:p>
            <w:pPr>
              <w:widowControl/>
              <w:spacing w:line="360" w:lineRule="exact"/>
              <w:jc w:val="center"/>
              <w:rPr>
                <w:rFonts w:ascii="宋体" w:hAnsi="宋体"/>
                <w:color w:val="000000" w:themeColor="text1"/>
                <w:sz w:val="24"/>
              </w:rPr>
            </w:pPr>
            <w:r>
              <w:rPr>
                <w:rFonts w:hint="eastAsia" w:ascii="宋体" w:hAnsi="宋体"/>
                <w:color w:val="000000" w:themeColor="text1"/>
                <w:sz w:val="24"/>
              </w:rPr>
              <w:t>商务</w:t>
            </w:r>
          </w:p>
          <w:p>
            <w:pPr>
              <w:widowControl/>
              <w:spacing w:line="360" w:lineRule="exact"/>
              <w:jc w:val="center"/>
              <w:rPr>
                <w:rFonts w:ascii="宋体" w:hAnsi="宋体"/>
                <w:color w:val="000000" w:themeColor="text1"/>
                <w:sz w:val="24"/>
              </w:rPr>
            </w:pPr>
            <w:r>
              <w:rPr>
                <w:rFonts w:hint="eastAsia" w:ascii="宋体" w:hAnsi="宋体"/>
                <w:color w:val="000000" w:themeColor="text1"/>
                <w:sz w:val="24"/>
              </w:rPr>
              <w:t>技术分</w:t>
            </w:r>
          </w:p>
          <w:p>
            <w:pPr>
              <w:widowControl/>
              <w:spacing w:line="360" w:lineRule="exact"/>
              <w:jc w:val="center"/>
              <w:rPr>
                <w:color w:val="000000" w:themeColor="text1"/>
                <w:sz w:val="24"/>
              </w:rPr>
            </w:pPr>
            <w:r>
              <w:rPr>
                <w:rFonts w:hint="eastAsia" w:ascii="宋体" w:hAnsi="宋体"/>
                <w:color w:val="000000" w:themeColor="text1"/>
                <w:sz w:val="24"/>
                <w:lang w:val="en-US" w:eastAsia="zh-CN"/>
              </w:rPr>
              <w:t>70</w:t>
            </w:r>
            <w:r>
              <w:rPr>
                <w:rFonts w:hint="eastAsia" w:ascii="宋体" w:hAnsi="宋体"/>
                <w:color w:val="000000" w:themeColor="text1"/>
                <w:sz w:val="24"/>
              </w:rPr>
              <w:t>分</w:t>
            </w:r>
          </w:p>
        </w:tc>
        <w:tc>
          <w:tcPr>
            <w:tcW w:w="136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同类项目</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业绩</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投标人2019年1月1日（以合同签订时间为准）以来同类项目经验，每个有效合同复印件得0.5分，最高2分，有效合同原件须带至现场核查，否则不得分。(0-2分)</w:t>
            </w:r>
          </w:p>
        </w:tc>
        <w:tc>
          <w:tcPr>
            <w:tcW w:w="844" w:type="dxa"/>
            <w:vAlign w:val="center"/>
          </w:tcPr>
          <w:p>
            <w:pPr>
              <w:widowControl/>
              <w:spacing w:line="300" w:lineRule="exact"/>
              <w:jc w:val="left"/>
              <w:rPr>
                <w:rFonts w:ascii="宋体" w:hAnsi="宋体"/>
                <w:color w:val="000000" w:themeColor="text1"/>
                <w:sz w:val="24"/>
              </w:rPr>
            </w:pPr>
            <w:r>
              <w:rPr>
                <w:rFonts w:hint="eastAsia" w:ascii="宋体" w:hAnsi="宋体"/>
                <w:color w:val="000000" w:themeColor="text1"/>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236" w:type="dxa"/>
            <w:vMerge w:val="continue"/>
            <w:vAlign w:val="center"/>
          </w:tcPr>
          <w:p>
            <w:pPr>
              <w:widowControl/>
              <w:spacing w:line="360" w:lineRule="exact"/>
              <w:jc w:val="center"/>
              <w:rPr>
                <w:rFonts w:ascii="宋体" w:hAnsi="宋体"/>
                <w:color w:val="000000" w:themeColor="text1"/>
                <w:sz w:val="24"/>
              </w:rPr>
            </w:pPr>
          </w:p>
        </w:tc>
        <w:tc>
          <w:tcPr>
            <w:tcW w:w="136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对服务重点与难点的分析</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1.对项目分析准确；（0-</w:t>
            </w:r>
            <w:r>
              <w:rPr>
                <w:rFonts w:ascii="宋体" w:hAnsi="宋体"/>
                <w:color w:val="000000" w:themeColor="text1"/>
                <w:sz w:val="24"/>
              </w:rPr>
              <w:t>5</w:t>
            </w:r>
            <w:r>
              <w:rPr>
                <w:rFonts w:hint="eastAsia" w:ascii="宋体" w:hAnsi="宋体"/>
                <w:color w:val="000000" w:themeColor="text1"/>
                <w:sz w:val="24"/>
              </w:rPr>
              <w:t>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2</w:t>
            </w:r>
            <w:r>
              <w:rPr>
                <w:rFonts w:ascii="宋体" w:hAnsi="宋体"/>
                <w:color w:val="000000" w:themeColor="text1"/>
                <w:sz w:val="24"/>
              </w:rPr>
              <w:t>.</w:t>
            </w:r>
            <w:r>
              <w:rPr>
                <w:rFonts w:hint="eastAsia" w:ascii="宋体" w:hAnsi="宋体"/>
                <w:color w:val="000000" w:themeColor="text1"/>
                <w:sz w:val="24"/>
              </w:rPr>
              <w:t>重点难点突出；（0-</w:t>
            </w:r>
            <w:r>
              <w:rPr>
                <w:rFonts w:hint="eastAsia" w:ascii="宋体" w:hAnsi="宋体"/>
                <w:color w:val="000000" w:themeColor="text1"/>
                <w:sz w:val="24"/>
                <w:lang w:val="en-US" w:eastAsia="zh-CN"/>
              </w:rPr>
              <w:t>5</w:t>
            </w:r>
            <w:r>
              <w:rPr>
                <w:rFonts w:hint="eastAsia" w:ascii="宋体" w:hAnsi="宋体"/>
                <w:color w:val="000000" w:themeColor="text1"/>
                <w:sz w:val="24"/>
              </w:rPr>
              <w:t>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3</w:t>
            </w:r>
            <w:r>
              <w:rPr>
                <w:rFonts w:ascii="宋体" w:hAnsi="宋体"/>
                <w:color w:val="000000" w:themeColor="text1"/>
                <w:sz w:val="24"/>
              </w:rPr>
              <w:t>.</w:t>
            </w:r>
            <w:r>
              <w:rPr>
                <w:rFonts w:hint="eastAsia" w:ascii="宋体" w:hAnsi="宋体"/>
                <w:color w:val="000000" w:themeColor="text1"/>
                <w:sz w:val="24"/>
              </w:rPr>
              <w:t>具有针对性得（0-</w:t>
            </w:r>
            <w:r>
              <w:rPr>
                <w:rFonts w:hint="eastAsia" w:ascii="宋体" w:hAnsi="宋体"/>
                <w:color w:val="000000" w:themeColor="text1"/>
                <w:sz w:val="24"/>
                <w:lang w:val="en-US" w:eastAsia="zh-CN"/>
              </w:rPr>
              <w:t>5</w:t>
            </w:r>
            <w:r>
              <w:rPr>
                <w:rFonts w:hint="eastAsia" w:ascii="宋体" w:hAnsi="宋体"/>
                <w:color w:val="000000" w:themeColor="text1"/>
                <w:sz w:val="24"/>
              </w:rPr>
              <w:t>分）。</w:t>
            </w:r>
          </w:p>
        </w:tc>
        <w:tc>
          <w:tcPr>
            <w:tcW w:w="844"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lang w:val="en-US" w:eastAsia="zh-CN"/>
              </w:rPr>
              <w:t>15</w:t>
            </w:r>
            <w:r>
              <w:rPr>
                <w:rFonts w:hint="eastAsia" w:ascii="宋体" w:hAnsi="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236" w:type="dxa"/>
            <w:vMerge w:val="continue"/>
            <w:vAlign w:val="center"/>
          </w:tcPr>
          <w:p>
            <w:pPr>
              <w:widowControl/>
              <w:spacing w:line="360" w:lineRule="exact"/>
              <w:jc w:val="center"/>
              <w:rPr>
                <w:rFonts w:ascii="宋体" w:hAnsi="宋体"/>
                <w:color w:val="000000" w:themeColor="text1"/>
                <w:sz w:val="24"/>
              </w:rPr>
            </w:pPr>
          </w:p>
        </w:tc>
        <w:tc>
          <w:tcPr>
            <w:tcW w:w="136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采购需求响应</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根据投标人对采购文件明确的采购需求的满足程度进行综合评分。（0-3分）</w:t>
            </w:r>
          </w:p>
        </w:tc>
        <w:tc>
          <w:tcPr>
            <w:tcW w:w="844"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236" w:type="dxa"/>
            <w:vMerge w:val="continue"/>
            <w:vAlign w:val="center"/>
          </w:tcPr>
          <w:p>
            <w:pPr>
              <w:widowControl/>
              <w:spacing w:line="360" w:lineRule="exact"/>
              <w:jc w:val="center"/>
              <w:rPr>
                <w:rFonts w:ascii="宋体" w:hAnsi="宋体" w:cs="仿宋_GB2312"/>
                <w:color w:val="000000" w:themeColor="text1"/>
                <w:sz w:val="24"/>
              </w:rPr>
            </w:pPr>
          </w:p>
        </w:tc>
        <w:tc>
          <w:tcPr>
            <w:tcW w:w="1365" w:type="dxa"/>
            <w:vMerge w:val="restart"/>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服务方案整体响应程度情况</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1.服务方案能分析到位，提出非常完整的方案计划；（</w:t>
            </w:r>
            <w:r>
              <w:rPr>
                <w:rFonts w:ascii="宋体" w:hAnsi="宋体"/>
                <w:color w:val="000000" w:themeColor="text1"/>
                <w:sz w:val="24"/>
              </w:rPr>
              <w:t>0</w:t>
            </w:r>
            <w:r>
              <w:rPr>
                <w:rFonts w:hint="eastAsia" w:ascii="宋体" w:hAnsi="宋体"/>
                <w:color w:val="000000" w:themeColor="text1"/>
                <w:sz w:val="24"/>
              </w:rPr>
              <w:t>-</w:t>
            </w:r>
            <w:r>
              <w:rPr>
                <w:rFonts w:hint="eastAsia" w:ascii="宋体" w:hAnsi="宋体"/>
                <w:color w:val="000000" w:themeColor="text1"/>
                <w:sz w:val="24"/>
                <w:lang w:val="en-US" w:eastAsia="zh-CN"/>
              </w:rPr>
              <w:t>5</w:t>
            </w:r>
            <w:r>
              <w:rPr>
                <w:rFonts w:hint="eastAsia" w:ascii="宋体" w:hAnsi="宋体"/>
                <w:color w:val="000000" w:themeColor="text1"/>
                <w:sz w:val="24"/>
              </w:rPr>
              <w:t>）分；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2.对项目理解充分，方案阐述非常清晰有针对性（</w:t>
            </w:r>
            <w:r>
              <w:rPr>
                <w:rFonts w:ascii="宋体" w:hAnsi="宋体"/>
                <w:color w:val="000000" w:themeColor="text1"/>
                <w:sz w:val="24"/>
              </w:rPr>
              <w:t>0</w:t>
            </w:r>
            <w:r>
              <w:rPr>
                <w:rFonts w:hint="eastAsia" w:ascii="宋体" w:hAnsi="宋体"/>
                <w:color w:val="000000" w:themeColor="text1"/>
                <w:sz w:val="24"/>
              </w:rPr>
              <w:t>-</w:t>
            </w:r>
            <w:r>
              <w:rPr>
                <w:rFonts w:hint="eastAsia" w:ascii="宋体" w:hAnsi="宋体"/>
                <w:color w:val="000000" w:themeColor="text1"/>
                <w:sz w:val="24"/>
                <w:lang w:val="en-US" w:eastAsia="zh-CN"/>
              </w:rPr>
              <w:t>5</w:t>
            </w:r>
            <w:r>
              <w:rPr>
                <w:rFonts w:hint="eastAsia" w:ascii="宋体" w:hAnsi="宋体"/>
                <w:color w:val="000000" w:themeColor="text1"/>
                <w:sz w:val="24"/>
              </w:rPr>
              <w:t>）分；</w:t>
            </w:r>
          </w:p>
        </w:tc>
        <w:tc>
          <w:tcPr>
            <w:tcW w:w="844" w:type="dxa"/>
            <w:vAlign w:val="center"/>
          </w:tcPr>
          <w:p>
            <w:pPr>
              <w:widowControl/>
              <w:spacing w:line="300" w:lineRule="exact"/>
              <w:jc w:val="left"/>
              <w:rPr>
                <w:rFonts w:ascii="宋体" w:hAnsi="宋体"/>
                <w:color w:val="000000" w:themeColor="text1"/>
                <w:sz w:val="24"/>
              </w:rPr>
            </w:pPr>
            <w:r>
              <w:rPr>
                <w:rFonts w:hint="eastAsia" w:ascii="宋体" w:hAnsi="宋体"/>
                <w:color w:val="000000" w:themeColor="text1"/>
                <w:sz w:val="24"/>
                <w:lang w:val="en-US" w:eastAsia="zh-CN"/>
              </w:rPr>
              <w:t>10</w:t>
            </w:r>
            <w:r>
              <w:rPr>
                <w:rFonts w:hint="eastAsia" w:ascii="宋体" w:hAnsi="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6" w:type="dxa"/>
            <w:vMerge w:val="continue"/>
            <w:vAlign w:val="center"/>
          </w:tcPr>
          <w:p>
            <w:pPr>
              <w:widowControl/>
              <w:spacing w:line="360" w:lineRule="exact"/>
              <w:jc w:val="center"/>
              <w:rPr>
                <w:rFonts w:ascii="宋体" w:hAnsi="宋体" w:cs="仿宋_GB2312"/>
                <w:color w:val="000000" w:themeColor="text1"/>
                <w:sz w:val="24"/>
              </w:rPr>
            </w:pPr>
          </w:p>
        </w:tc>
        <w:tc>
          <w:tcPr>
            <w:tcW w:w="1365" w:type="dxa"/>
            <w:vMerge w:val="restart"/>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项目投入人员、设备配置</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1.根据投标人对拟派现场项目负责人管理、业务经验情况等进行综合评分。（0-5分）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2.拟投入本项目人员岗位配备：数量和年龄结构情况。（0-5分）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3.拟投入本项目人员岗位配备：学历和从业经验情况。（0-5分）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4.投标人拟投入本项目的设备情况等进行综合评分。（0-5分）</w:t>
            </w:r>
          </w:p>
        </w:tc>
        <w:tc>
          <w:tcPr>
            <w:tcW w:w="844" w:type="dxa"/>
            <w:vAlign w:val="center"/>
          </w:tcPr>
          <w:p>
            <w:pPr>
              <w:widowControl/>
              <w:spacing w:line="300" w:lineRule="exact"/>
              <w:jc w:val="left"/>
              <w:rPr>
                <w:rFonts w:ascii="宋体" w:hAnsi="宋体"/>
                <w:color w:val="000000" w:themeColor="text1"/>
                <w:sz w:val="24"/>
              </w:rPr>
            </w:pPr>
            <w:r>
              <w:rPr>
                <w:rFonts w:hint="eastAsia" w:ascii="宋体" w:hAnsi="宋体"/>
                <w:color w:val="000000" w:themeColor="text1"/>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1236" w:type="dxa"/>
            <w:vMerge w:val="continue"/>
            <w:vAlign w:val="center"/>
          </w:tcPr>
          <w:p>
            <w:pPr>
              <w:widowControl/>
              <w:spacing w:line="360" w:lineRule="exact"/>
              <w:jc w:val="center"/>
              <w:rPr>
                <w:rFonts w:ascii="宋体" w:hAnsi="宋体" w:cs="仿宋_GB2312"/>
                <w:color w:val="000000" w:themeColor="text1"/>
                <w:sz w:val="24"/>
              </w:rPr>
            </w:pPr>
          </w:p>
        </w:tc>
        <w:tc>
          <w:tcPr>
            <w:tcW w:w="136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项目质量保证措施</w:t>
            </w:r>
          </w:p>
        </w:tc>
        <w:tc>
          <w:tcPr>
            <w:tcW w:w="6012"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1.根据投标人提供的内部管理制度是否全面、有针对性、措施完善，措施得力等进行综合评分。（0-5分）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2.根据投标人对清查盘点过程中安全方面的承诺及保障措施等进行综合评分。（0-5分）</w:t>
            </w:r>
          </w:p>
          <w:p>
            <w:pPr>
              <w:widowControl/>
              <w:spacing w:line="360" w:lineRule="exact"/>
              <w:jc w:val="left"/>
              <w:rPr>
                <w:rFonts w:ascii="宋体" w:hAnsi="宋体"/>
                <w:color w:val="000000" w:themeColor="text1"/>
                <w:sz w:val="24"/>
              </w:rPr>
            </w:pPr>
            <w:r>
              <w:rPr>
                <w:rFonts w:hint="eastAsia" w:ascii="宋体" w:hAnsi="宋体"/>
                <w:color w:val="000000" w:themeColor="text1"/>
                <w:sz w:val="24"/>
              </w:rPr>
              <w:t>3.应急事件的处理预案，包括采购人紧急临时任务、遇上特殊情况等的应对措施等进行综合评分。（0-5分）</w:t>
            </w:r>
          </w:p>
        </w:tc>
        <w:tc>
          <w:tcPr>
            <w:tcW w:w="844" w:type="dxa"/>
            <w:vAlign w:val="center"/>
          </w:tcPr>
          <w:p>
            <w:pPr>
              <w:widowControl/>
              <w:spacing w:line="300" w:lineRule="exact"/>
              <w:jc w:val="left"/>
              <w:rPr>
                <w:rFonts w:ascii="宋体" w:hAnsi="宋体"/>
                <w:color w:val="000000" w:themeColor="text1"/>
                <w:sz w:val="24"/>
              </w:rPr>
            </w:pPr>
            <w:r>
              <w:rPr>
                <w:rFonts w:hint="eastAsia" w:ascii="宋体" w:hAnsi="宋体"/>
                <w:color w:val="000000" w:themeColor="text1"/>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36" w:type="dxa"/>
            <w:vMerge w:val="continue"/>
            <w:vAlign w:val="center"/>
          </w:tcPr>
          <w:p>
            <w:pPr>
              <w:pStyle w:val="16"/>
              <w:widowControl/>
              <w:spacing w:line="360" w:lineRule="exact"/>
              <w:ind w:left="2250" w:hanging="1200"/>
              <w:rPr>
                <w:color w:val="000000" w:themeColor="text1"/>
              </w:rPr>
            </w:pPr>
          </w:p>
        </w:tc>
        <w:tc>
          <w:tcPr>
            <w:tcW w:w="1365" w:type="dxa"/>
            <w:vAlign w:val="center"/>
          </w:tcPr>
          <w:p>
            <w:pPr>
              <w:widowControl/>
              <w:spacing w:line="360" w:lineRule="exact"/>
              <w:jc w:val="left"/>
              <w:rPr>
                <w:rFonts w:ascii="宋体" w:hAnsi="宋体"/>
                <w:color w:val="000000" w:themeColor="text1"/>
                <w:sz w:val="24"/>
              </w:rPr>
            </w:pPr>
            <w:r>
              <w:rPr>
                <w:rFonts w:hint="eastAsia" w:ascii="宋体" w:hAnsi="宋体"/>
                <w:color w:val="000000" w:themeColor="text1"/>
                <w:sz w:val="24"/>
              </w:rPr>
              <w:t>服务承诺及质量保证</w:t>
            </w:r>
          </w:p>
        </w:tc>
        <w:tc>
          <w:tcPr>
            <w:tcW w:w="6012" w:type="dxa"/>
            <w:vAlign w:val="center"/>
          </w:tcPr>
          <w:p>
            <w:pPr>
              <w:pStyle w:val="38"/>
              <w:widowControl w:val="0"/>
              <w:pBdr>
                <w:bottom w:val="none" w:color="auto" w:sz="0" w:space="0"/>
                <w:right w:val="none" w:color="auto" w:sz="0" w:space="0"/>
              </w:pBdr>
              <w:spacing w:before="0" w:beforeAutospacing="0" w:after="0" w:afterAutospacing="0" w:line="360" w:lineRule="auto"/>
              <w:jc w:val="left"/>
              <w:rPr>
                <w:rFonts w:cs="Times New Roman"/>
                <w:color w:val="000000" w:themeColor="text1"/>
                <w:kern w:val="2"/>
                <w:sz w:val="24"/>
              </w:rPr>
            </w:pPr>
            <w:r>
              <w:rPr>
                <w:rFonts w:hint="eastAsia" w:cs="Times New Roman"/>
                <w:color w:val="000000" w:themeColor="text1"/>
                <w:kern w:val="2"/>
                <w:sz w:val="24"/>
              </w:rPr>
              <w:t>服务承诺及质量保证措施完善、合理、可行。（0-</w:t>
            </w:r>
            <w:r>
              <w:rPr>
                <w:rFonts w:hint="eastAsia" w:cs="Times New Roman"/>
                <w:color w:val="000000" w:themeColor="text1"/>
                <w:kern w:val="2"/>
                <w:sz w:val="24"/>
                <w:lang w:val="en-US" w:eastAsia="zh-CN"/>
              </w:rPr>
              <w:t>5</w:t>
            </w:r>
            <w:r>
              <w:rPr>
                <w:rFonts w:hint="eastAsia" w:cs="Times New Roman"/>
                <w:color w:val="000000" w:themeColor="text1"/>
                <w:kern w:val="2"/>
                <w:sz w:val="24"/>
              </w:rPr>
              <w:t>分）</w:t>
            </w:r>
          </w:p>
        </w:tc>
        <w:tc>
          <w:tcPr>
            <w:tcW w:w="844" w:type="dxa"/>
            <w:vAlign w:val="center"/>
          </w:tcPr>
          <w:p>
            <w:pPr>
              <w:widowControl/>
              <w:spacing w:line="300" w:lineRule="exact"/>
              <w:jc w:val="left"/>
              <w:rPr>
                <w:rFonts w:ascii="宋体" w:hAnsi="宋体"/>
                <w:color w:val="000000" w:themeColor="text1"/>
                <w:sz w:val="24"/>
              </w:rPr>
            </w:pPr>
            <w:r>
              <w:rPr>
                <w:rFonts w:hint="eastAsia" w:ascii="宋体" w:hAnsi="宋体"/>
                <w:color w:val="000000" w:themeColor="text1"/>
                <w:sz w:val="24"/>
                <w:lang w:val="en-US" w:eastAsia="zh-CN"/>
              </w:rPr>
              <w:t>5</w:t>
            </w:r>
            <w:r>
              <w:rPr>
                <w:rFonts w:hint="eastAsia" w:ascii="宋体" w:hAnsi="宋体"/>
                <w:color w:val="000000" w:themeColor="text1"/>
                <w:sz w:val="24"/>
              </w:rPr>
              <w:t>分</w:t>
            </w:r>
          </w:p>
        </w:tc>
      </w:tr>
    </w:tbl>
    <w:p>
      <w:pPr>
        <w:autoSpaceDE w:val="0"/>
        <w:autoSpaceDN w:val="0"/>
        <w:adjustRightInd w:val="0"/>
        <w:spacing w:line="360" w:lineRule="auto"/>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主持人宣布投标截止时间，并宣布招标会议开始。</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工作人员确认投标人法定代表人或授权委托代理人资格及到场等情况。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 工作人员检查各投标人的标函密封、标记情况。</w:t>
      </w:r>
    </w:p>
    <w:p>
      <w:pPr>
        <w:autoSpaceDE w:val="0"/>
        <w:autoSpaceDN w:val="0"/>
        <w:adjustRightInd w:val="0"/>
        <w:spacing w:line="360" w:lineRule="auto"/>
        <w:ind w:firstLine="480"/>
        <w:rPr>
          <w:rFonts w:ascii="宋体" w:hAnsi="宋体"/>
          <w:sz w:val="24"/>
        </w:rPr>
      </w:pPr>
      <w:r>
        <w:rPr>
          <w:rFonts w:hint="eastAsia" w:ascii="宋体" w:hAnsi="宋体"/>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ascii="宋体" w:hAnsi="宋体"/>
          <w:sz w:val="24"/>
        </w:rPr>
      </w:pPr>
      <w:r>
        <w:rPr>
          <w:rFonts w:hint="eastAsia" w:ascii="宋体" w:hAnsi="宋体"/>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ascii="宋体" w:hAnsi="宋体"/>
          <w:sz w:val="24"/>
        </w:rPr>
      </w:pPr>
      <w:r>
        <w:rPr>
          <w:rFonts w:hint="eastAsia" w:ascii="宋体" w:hAnsi="宋体"/>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ascii="宋体" w:hAnsi="宋体"/>
          <w:sz w:val="24"/>
        </w:rPr>
      </w:pPr>
      <w:r>
        <w:rPr>
          <w:rFonts w:hint="eastAsia" w:ascii="宋体" w:hAnsi="宋体"/>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ascii="宋体" w:hAnsi="宋体" w:cs="宋体"/>
          <w:b/>
          <w:sz w:val="32"/>
          <w:szCs w:val="32"/>
        </w:rPr>
      </w:pPr>
      <w:r>
        <w:rPr>
          <w:rFonts w:hint="eastAsia" w:ascii="宋体" w:hAnsi="宋体"/>
          <w:sz w:val="24"/>
        </w:rPr>
        <w:t xml:space="preserve">    8. 开标会结束。</w:t>
      </w:r>
    </w:p>
    <w:p>
      <w:pPr>
        <w:spacing w:line="360" w:lineRule="auto"/>
        <w:jc w:val="center"/>
        <w:outlineLvl w:val="0"/>
        <w:rPr>
          <w:b/>
          <w:color w:val="000000"/>
          <w:sz w:val="32"/>
        </w:rPr>
      </w:pPr>
    </w:p>
    <w:p>
      <w:pPr>
        <w:spacing w:line="360" w:lineRule="auto"/>
        <w:jc w:val="center"/>
        <w:outlineLvl w:val="0"/>
        <w:rPr>
          <w:rFonts w:ascii="宋体" w:hAnsi="宋体"/>
          <w:color w:val="000000"/>
          <w:sz w:val="24"/>
        </w:rPr>
      </w:pPr>
      <w:r>
        <w:rPr>
          <w:rFonts w:hint="eastAsia" w:ascii="宋体" w:hAnsi="宋体"/>
          <w:color w:val="000000"/>
          <w:sz w:val="24"/>
        </w:rPr>
        <w:t>　</w:t>
      </w:r>
    </w:p>
    <w:p>
      <w:pPr>
        <w:spacing w:line="360" w:lineRule="auto"/>
        <w:jc w:val="center"/>
        <w:outlineLvl w:val="0"/>
        <w:rPr>
          <w:rFonts w:ascii="宋体" w:hAnsi="宋体"/>
          <w:color w:val="000000"/>
          <w:sz w:val="24"/>
        </w:rPr>
      </w:pPr>
    </w:p>
    <w:p>
      <w:pPr>
        <w:spacing w:line="360" w:lineRule="auto"/>
        <w:jc w:val="both"/>
        <w:outlineLvl w:val="0"/>
        <w:rPr>
          <w:rStyle w:val="37"/>
          <w:rFonts w:hint="eastAsia" w:asciiTheme="minorHAnsi" w:hAnsiTheme="minorHAnsi" w:cstheme="minorBidi"/>
        </w:rPr>
      </w:pPr>
    </w:p>
    <w:p>
      <w:pPr>
        <w:spacing w:line="360" w:lineRule="auto"/>
        <w:jc w:val="center"/>
        <w:outlineLvl w:val="0"/>
        <w:rPr>
          <w:rStyle w:val="37"/>
          <w:rFonts w:asciiTheme="minorHAnsi" w:hAnsiTheme="minorHAnsi" w:cstheme="minorBidi"/>
        </w:rPr>
      </w:pPr>
      <w:r>
        <w:rPr>
          <w:rStyle w:val="37"/>
          <w:rFonts w:hint="eastAsia" w:asciiTheme="minorHAnsi" w:hAnsiTheme="minorHAnsi" w:cstheme="minorBidi"/>
        </w:rPr>
        <w:t>第六章 应提交的有关材料格式范例</w:t>
      </w:r>
    </w:p>
    <w:p>
      <w:pPr>
        <w:spacing w:line="500" w:lineRule="exact"/>
        <w:jc w:val="center"/>
        <w:rPr>
          <w:rFonts w:ascii="宋体" w:hAnsi="宋体" w:cs="宋体"/>
          <w:b/>
          <w:sz w:val="28"/>
          <w:szCs w:val="28"/>
        </w:rPr>
      </w:pPr>
    </w:p>
    <w:p>
      <w:pPr>
        <w:spacing w:line="500" w:lineRule="exact"/>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outlineLvl w:val="0"/>
        <w:rPr>
          <w:rFonts w:ascii="宋体" w:hAnsi="宋体" w:cs="宋体"/>
          <w:b/>
          <w:bCs/>
          <w:color w:val="000000"/>
          <w:spacing w:val="20"/>
          <w:sz w:val="32"/>
        </w:rPr>
      </w:pPr>
      <w:bookmarkStart w:id="8" w:name="_Toc8741"/>
      <w:r>
        <w:rPr>
          <w:rFonts w:hint="eastAsia" w:ascii="宋体" w:hAnsi="宋体" w:cs="宋体"/>
          <w:b/>
          <w:bCs/>
          <w:color w:val="000000"/>
          <w:spacing w:val="20"/>
          <w:sz w:val="32"/>
        </w:rPr>
        <w:t>投标文件外包装封面格式</w:t>
      </w:r>
      <w:bookmarkEnd w:id="8"/>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衢院招2022-43 </w:t>
      </w:r>
    </w:p>
    <w:p>
      <w:pPr>
        <w:spacing w:line="420" w:lineRule="exact"/>
        <w:rPr>
          <w:rFonts w:ascii="宋体" w:hAnsi="宋体" w:cs="宋体"/>
          <w:bCs/>
          <w:color w:val="000000"/>
          <w:spacing w:val="20"/>
          <w:sz w:val="32"/>
          <w:szCs w:val="32"/>
        </w:rPr>
      </w:pPr>
    </w:p>
    <w:p>
      <w:pPr>
        <w:spacing w:line="420" w:lineRule="exact"/>
        <w:rPr>
          <w:rFonts w:ascii="宋体" w:hAnsi="宋体" w:cs="宋体"/>
          <w:bCs/>
          <w:sz w:val="32"/>
          <w:szCs w:val="32"/>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：衢州学院废含汞试剂处置项目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r>
        <w:rPr>
          <w:rFonts w:hint="eastAsia" w:ascii="宋体" w:hAnsi="宋体" w:cs="宋体"/>
          <w:b/>
          <w:color w:val="000000"/>
          <w:kern w:val="0"/>
          <w:sz w:val="24"/>
        </w:rPr>
        <w:t>封口格式</w:t>
      </w:r>
    </w:p>
    <w:p>
      <w:pPr>
        <w:rPr>
          <w:rFonts w:ascii="宋体" w:hAnsi="宋体" w:cs="宋体"/>
          <w:bCs/>
          <w:color w:val="000000"/>
        </w:rPr>
      </w:pPr>
      <w:r>
        <w:rPr>
          <w:rFonts w:ascii="宋体" w:hAnsi="宋体" w:cs="宋体"/>
          <w:bCs/>
          <w:color w:val="000000"/>
        </w:rPr>
        <w:pict>
          <v:shape id="文本框 1" o:spid="_x0000_s1027" o:spt="202" type="#_x0000_t202" style="position:absolute;left:0pt;margin-left:14.45pt;margin-top:12.75pt;height:93.6pt;width:414pt;z-index:251659264;mso-width-relative:page;mso-height-relative:page;"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path/>
            <v:fill focussize="0,0"/>
            <v:stroke joinstyle="miter"/>
            <v:imagedata o:title=""/>
            <o:lock v:ext="edit"/>
            <v:textbox>
              <w:txbxContent>
                <w:p/>
                <w:p/>
                <w:p>
                  <w:pPr>
                    <w:rPr>
                      <w:sz w:val="30"/>
                      <w:szCs w:val="30"/>
                    </w:rPr>
                  </w:pPr>
                  <w:r>
                    <w:rPr>
                      <w:rFonts w:hint="eastAsia"/>
                      <w:sz w:val="30"/>
                      <w:szCs w:val="30"/>
                    </w:rPr>
                    <w:t>——于   年 月 日时之前不准启封（公章）</w:t>
                  </w:r>
                </w:p>
              </w:txbxContent>
            </v:textbox>
          </v:shape>
        </w:pict>
      </w:r>
    </w:p>
    <w:p>
      <w:pPr>
        <w:rPr>
          <w:rFonts w:ascii="宋体" w:hAnsi="宋体" w:cs="宋体"/>
          <w:b/>
          <w:color w:val="000000"/>
          <w:spacing w:val="20"/>
          <w:sz w:val="32"/>
          <w:szCs w:val="32"/>
        </w:rPr>
      </w:pPr>
    </w:p>
    <w:p>
      <w:pPr>
        <w:spacing w:line="410" w:lineRule="exact"/>
        <w:rPr>
          <w:rFonts w:ascii="宋体" w:hAnsi="宋体" w:cs="宋体"/>
          <w:b/>
          <w:color w:val="000000"/>
          <w:sz w:val="28"/>
          <w:szCs w:val="28"/>
        </w:rPr>
      </w:pPr>
    </w:p>
    <w:p>
      <w:pPr>
        <w:spacing w:line="410" w:lineRule="exact"/>
        <w:rPr>
          <w:rFonts w:ascii="宋体" w:hAnsi="宋体" w:cs="宋体"/>
          <w:b/>
          <w:color w:val="000000"/>
          <w:sz w:val="28"/>
          <w:szCs w:val="28"/>
        </w:rPr>
      </w:pPr>
    </w:p>
    <w:p>
      <w:pPr>
        <w:spacing w:line="410" w:lineRule="exact"/>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衢院招2022-43  </w:t>
      </w:r>
    </w:p>
    <w:p>
      <w:pPr>
        <w:spacing w:line="420" w:lineRule="exact"/>
        <w:rPr>
          <w:rFonts w:ascii="宋体" w:hAnsi="宋体" w:cs="宋体"/>
          <w:color w:val="000000"/>
          <w:spacing w:val="20"/>
          <w:sz w:val="32"/>
          <w:szCs w:val="32"/>
        </w:rPr>
      </w:pPr>
    </w:p>
    <w:p>
      <w:pPr>
        <w:spacing w:line="420" w:lineRule="exact"/>
        <w:rPr>
          <w:rFonts w:ascii="宋体" w:hAnsi="宋体" w:cs="宋体"/>
          <w:bCs/>
          <w:sz w:val="32"/>
          <w:szCs w:val="32"/>
        </w:rPr>
      </w:pPr>
      <w:r>
        <w:rPr>
          <w:rFonts w:hint="eastAsia" w:ascii="宋体" w:hAnsi="宋体" w:cs="宋体"/>
          <w:color w:val="000000"/>
          <w:spacing w:val="20"/>
          <w:sz w:val="32"/>
          <w:szCs w:val="32"/>
        </w:rPr>
        <w:t>项目名称：</w:t>
      </w:r>
      <w:r>
        <w:rPr>
          <w:rFonts w:hint="eastAsia" w:ascii="宋体" w:hAnsi="宋体" w:cs="宋体"/>
          <w:b/>
          <w:bCs/>
          <w:sz w:val="28"/>
          <w:szCs w:val="28"/>
        </w:rPr>
        <w:t>衢州学院废含汞试剂处置项目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rPr>
          <w:rFonts w:ascii="宋体" w:hAnsi="宋体" w:cs="宋体"/>
          <w:b/>
          <w:sz w:val="28"/>
          <w:szCs w:val="28"/>
        </w:rPr>
      </w:pPr>
    </w:p>
    <w:p>
      <w:pPr>
        <w:spacing w:line="500" w:lineRule="exact"/>
        <w:rPr>
          <w:rFonts w:ascii="宋体" w:hAnsi="宋体" w:cs="宋体"/>
          <w:b/>
          <w:sz w:val="28"/>
          <w:szCs w:val="28"/>
        </w:rPr>
      </w:pPr>
    </w:p>
    <w:p>
      <w:pPr>
        <w:spacing w:line="500" w:lineRule="exact"/>
        <w:rPr>
          <w:rFonts w:ascii="宋体" w:hAnsi="宋体" w:cs="宋体"/>
          <w:b/>
          <w:sz w:val="28"/>
          <w:szCs w:val="28"/>
        </w:rPr>
      </w:pPr>
    </w:p>
    <w:p>
      <w:pPr>
        <w:spacing w:line="500" w:lineRule="exact"/>
        <w:rPr>
          <w:rFonts w:ascii="宋体" w:hAnsi="宋体" w:cs="宋体"/>
          <w:b/>
          <w:sz w:val="28"/>
          <w:szCs w:val="28"/>
        </w:rPr>
      </w:pPr>
    </w:p>
    <w:p>
      <w:pPr>
        <w:autoSpaceDE w:val="0"/>
        <w:autoSpaceDN w:val="0"/>
        <w:adjustRightInd w:val="0"/>
        <w:spacing w:line="500" w:lineRule="exact"/>
        <w:jc w:val="left"/>
        <w:rPr>
          <w:rFonts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ascii="宋体" w:hAnsi="宋体" w:cs="宋体"/>
          <w:b/>
          <w:bCs/>
          <w:sz w:val="32"/>
          <w:szCs w:val="32"/>
          <w:lang w:val="zh-CN"/>
        </w:rPr>
      </w:pPr>
    </w:p>
    <w:p>
      <w:pPr>
        <w:autoSpaceDE w:val="0"/>
        <w:autoSpaceDN w:val="0"/>
        <w:adjustRightInd w:val="0"/>
        <w:spacing w:line="500" w:lineRule="exact"/>
        <w:jc w:val="center"/>
        <w:outlineLvl w:val="0"/>
        <w:rPr>
          <w:rFonts w:ascii="宋体" w:hAnsi="宋体" w:cs="宋体"/>
          <w:b/>
          <w:bCs/>
          <w:sz w:val="32"/>
          <w:szCs w:val="32"/>
          <w:lang w:val="zh-CN"/>
        </w:rPr>
      </w:pPr>
      <w:bookmarkStart w:id="9" w:name="_Toc30502"/>
      <w:r>
        <w:rPr>
          <w:rFonts w:hint="eastAsia" w:ascii="宋体" w:hAnsi="宋体" w:cs="宋体"/>
          <w:b/>
          <w:bCs/>
          <w:sz w:val="32"/>
          <w:szCs w:val="32"/>
          <w:lang w:val="zh-CN"/>
        </w:rPr>
        <w:t>投 标 函</w:t>
      </w:r>
      <w:bookmarkEnd w:id="9"/>
    </w:p>
    <w:p>
      <w:pPr>
        <w:autoSpaceDE w:val="0"/>
        <w:autoSpaceDN w:val="0"/>
        <w:adjustRightInd w:val="0"/>
        <w:spacing w:line="360" w:lineRule="auto"/>
        <w:jc w:val="left"/>
        <w:rPr>
          <w:rFonts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rPr>
        <w:t>衢州学院废含汞试剂处置项目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2022-43</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500" w:lineRule="exact"/>
        <w:outlineLvl w:val="1"/>
        <w:rPr>
          <w:rFonts w:ascii="宋体" w:hAnsi="宋体" w:cs="宋体"/>
          <w:b/>
          <w:kern w:val="0"/>
          <w:sz w:val="32"/>
          <w:szCs w:val="32"/>
        </w:rPr>
      </w:pPr>
    </w:p>
    <w:p>
      <w:pPr>
        <w:spacing w:line="500" w:lineRule="exact"/>
        <w:outlineLvl w:val="1"/>
        <w:rPr>
          <w:rFonts w:ascii="宋体" w:hAnsi="宋体" w:cs="宋体"/>
          <w:b/>
          <w:kern w:val="0"/>
          <w:sz w:val="32"/>
          <w:szCs w:val="32"/>
        </w:rPr>
      </w:pPr>
      <w:r>
        <w:rPr>
          <w:rFonts w:hint="eastAsia" w:ascii="宋体" w:hAnsi="宋体" w:cs="宋体"/>
          <w:b/>
          <w:kern w:val="0"/>
          <w:sz w:val="32"/>
          <w:szCs w:val="32"/>
        </w:rPr>
        <w:t>格式四：</w:t>
      </w:r>
    </w:p>
    <w:p>
      <w:pPr>
        <w:spacing w:line="500" w:lineRule="exact"/>
        <w:jc w:val="center"/>
        <w:rPr>
          <w:rFonts w:ascii="宋体" w:hAnsi="宋体" w:cs="宋体"/>
          <w:b/>
          <w:kern w:val="0"/>
          <w:sz w:val="32"/>
          <w:szCs w:val="32"/>
        </w:rPr>
      </w:pPr>
    </w:p>
    <w:p>
      <w:pPr>
        <w:spacing w:line="500" w:lineRule="exact"/>
        <w:jc w:val="center"/>
        <w:outlineLvl w:val="1"/>
        <w:rPr>
          <w:rFonts w:ascii="宋体" w:hAnsi="宋体" w:cs="宋体"/>
          <w:b/>
          <w:kern w:val="0"/>
          <w:sz w:val="32"/>
          <w:szCs w:val="32"/>
        </w:rPr>
      </w:pPr>
      <w:r>
        <w:rPr>
          <w:rFonts w:hint="eastAsia" w:ascii="宋体" w:hAnsi="宋体" w:cs="宋体"/>
          <w:b/>
          <w:kern w:val="0"/>
          <w:sz w:val="32"/>
          <w:szCs w:val="32"/>
        </w:rPr>
        <w:t>法定代表人身份证明</w:t>
      </w:r>
    </w:p>
    <w:p>
      <w:pPr>
        <w:pStyle w:val="7"/>
        <w:tabs>
          <w:tab w:val="left" w:pos="6840"/>
        </w:tabs>
        <w:spacing w:line="500" w:lineRule="exact"/>
        <w:ind w:firstLine="480"/>
        <w:rPr>
          <w:rFonts w:ascii="宋体" w:hAnsi="宋体" w:cs="宋体"/>
          <w:kern w:val="0"/>
          <w:sz w:val="28"/>
          <w:szCs w:val="28"/>
        </w:rPr>
      </w:pPr>
    </w:p>
    <w:p>
      <w:pPr>
        <w:pStyle w:val="7"/>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7"/>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7"/>
        <w:spacing w:line="500" w:lineRule="exact"/>
        <w:ind w:left="479" w:leftChars="228"/>
        <w:rPr>
          <w:rFonts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pStyle w:val="7"/>
        <w:spacing w:line="500" w:lineRule="exact"/>
        <w:ind w:left="479" w:leftChars="228"/>
        <w:rPr>
          <w:rFonts w:ascii="宋体" w:hAnsi="宋体" w:cs="宋体"/>
          <w:kern w:val="0"/>
          <w:sz w:val="28"/>
          <w:szCs w:val="28"/>
          <w:u w:val="single"/>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7"/>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7"/>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10" w:name="_Toc228278091"/>
      <w:bookmarkStart w:id="11" w:name="_Toc229974211"/>
      <w:bookmarkStart w:id="12" w:name="_Toc235437017"/>
      <w:bookmarkStart w:id="13" w:name="_Toc229970929"/>
      <w:bookmarkStart w:id="14" w:name="_Toc300133574"/>
      <w:bookmarkStart w:id="15" w:name="_Toc208248342"/>
      <w:bookmarkStart w:id="16" w:name="_Toc227146985"/>
      <w:bookmarkStart w:id="17" w:name="_Toc207382109"/>
      <w:bookmarkStart w:id="18" w:name="_Toc208586401"/>
      <w:bookmarkStart w:id="19" w:name="_Toc231283507"/>
      <w:bookmarkStart w:id="20" w:name="_Toc202880936"/>
      <w:bookmarkStart w:id="21" w:name="_Toc203234579"/>
      <w:bookmarkStart w:id="22" w:name="_Toc203235123"/>
      <w:bookmarkStart w:id="23" w:name="_Toc235535004"/>
      <w:bookmarkStart w:id="24" w:name="_Toc230589262"/>
      <w:bookmarkStart w:id="25" w:name="_Toc208322523"/>
    </w:p>
    <w:p>
      <w:pPr>
        <w:widowControl/>
        <w:adjustRightInd w:val="0"/>
        <w:spacing w:line="500" w:lineRule="exact"/>
        <w:rPr>
          <w:rFonts w:ascii="宋体" w:hAnsi="宋体" w:cs="宋体"/>
          <w:b/>
          <w:bCs/>
          <w:color w:val="333333"/>
          <w:kern w:val="0"/>
          <w:sz w:val="28"/>
          <w:szCs w:val="28"/>
          <w:lang w:val="zh-CN"/>
        </w:rPr>
      </w:pPr>
    </w:p>
    <w:p>
      <w:pPr>
        <w:spacing w:line="360" w:lineRule="auto"/>
        <w:outlineLvl w:val="1"/>
        <w:rPr>
          <w:rFonts w:ascii="宋体" w:hAnsi="宋体" w:cs="宋体"/>
          <w:b/>
          <w:sz w:val="28"/>
          <w:szCs w:val="28"/>
        </w:rPr>
      </w:pPr>
    </w:p>
    <w:p>
      <w:pPr>
        <w:spacing w:line="360" w:lineRule="auto"/>
        <w:outlineLvl w:val="1"/>
        <w:rPr>
          <w:rFonts w:ascii="宋体" w:hAnsi="宋体" w:cs="宋体"/>
          <w:b/>
          <w:sz w:val="28"/>
          <w:szCs w:val="28"/>
        </w:rPr>
      </w:pPr>
      <w:r>
        <w:rPr>
          <w:rFonts w:hint="eastAsia" w:ascii="宋体" w:hAnsi="宋体" w:cs="宋体"/>
          <w:b/>
          <w:sz w:val="28"/>
          <w:szCs w:val="28"/>
        </w:rPr>
        <w:t>格式五:</w:t>
      </w:r>
    </w:p>
    <w:p>
      <w:pPr>
        <w:widowControl/>
        <w:adjustRightInd w:val="0"/>
        <w:spacing w:line="360" w:lineRule="auto"/>
        <w:ind w:firstLine="420"/>
        <w:jc w:val="center"/>
        <w:rPr>
          <w:rFonts w:ascii="宋体" w:hAnsi="宋体" w:cs="宋体"/>
          <w:b/>
          <w:bCs/>
          <w:color w:val="333333"/>
          <w:kern w:val="0"/>
          <w:sz w:val="32"/>
          <w:szCs w:val="32"/>
          <w:lang w:val="zh-CN"/>
        </w:rPr>
      </w:pPr>
    </w:p>
    <w:p>
      <w:pPr>
        <w:widowControl/>
        <w:adjustRightInd w:val="0"/>
        <w:spacing w:line="360" w:lineRule="auto"/>
        <w:ind w:firstLine="420"/>
        <w:jc w:val="center"/>
        <w:outlineLvl w:val="0"/>
        <w:rPr>
          <w:rFonts w:ascii="宋体" w:hAnsi="宋体" w:cs="宋体"/>
          <w:b/>
          <w:bCs/>
          <w:color w:val="333333"/>
          <w:kern w:val="0"/>
          <w:sz w:val="32"/>
          <w:szCs w:val="32"/>
          <w:lang w:val="zh-CN"/>
        </w:rPr>
      </w:pPr>
      <w:bookmarkStart w:id="26" w:name="_Toc24118"/>
      <w:r>
        <w:rPr>
          <w:rFonts w:hint="eastAsia" w:ascii="宋体" w:hAnsi="宋体" w:cs="宋体"/>
          <w:b/>
          <w:bCs/>
          <w:color w:val="333333"/>
          <w:kern w:val="0"/>
          <w:sz w:val="32"/>
          <w:szCs w:val="32"/>
          <w:lang w:val="zh-CN"/>
        </w:rPr>
        <w:t>法定代表人授权书</w:t>
      </w:r>
      <w:bookmarkEnd w:id="26"/>
    </w:p>
    <w:p>
      <w:pPr>
        <w:widowControl/>
        <w:adjustRightInd w:val="0"/>
        <w:spacing w:line="360" w:lineRule="auto"/>
        <w:ind w:firstLine="420"/>
        <w:jc w:val="left"/>
        <w:rPr>
          <w:rFonts w:ascii="宋体" w:hAnsi="宋体" w:cs="宋体"/>
          <w:color w:val="333333"/>
          <w:kern w:val="0"/>
          <w:sz w:val="36"/>
          <w:szCs w:val="36"/>
          <w:lang w:val="zh-CN"/>
        </w:rPr>
      </w:pPr>
    </w:p>
    <w:p>
      <w:pPr>
        <w:widowControl/>
        <w:adjustRightInd w:val="0"/>
        <w:spacing w:line="360" w:lineRule="auto"/>
        <w:jc w:val="left"/>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snapToGrid w:val="0"/>
        <w:spacing w:line="360" w:lineRule="auto"/>
        <w:ind w:firstLine="560" w:firstLineChars="200"/>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rPr>
        <w:t>衢州学院废含汞试剂处置项目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2022-43</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widowControl/>
        <w:adjustRightInd w:val="0"/>
        <w:spacing w:line="360" w:lineRule="auto"/>
        <w:ind w:left="150" w:firstLine="420"/>
        <w:jc w:val="center"/>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widowControl/>
        <w:adjustRightInd w:val="0"/>
        <w:spacing w:line="360" w:lineRule="auto"/>
        <w:ind w:left="149" w:leftChars="71" w:firstLine="2704" w:firstLineChars="966"/>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widowControl/>
        <w:adjustRightInd w:val="0"/>
        <w:spacing w:line="360" w:lineRule="auto"/>
        <w:ind w:firstLine="5320" w:firstLineChars="1900"/>
        <w:jc w:val="left"/>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widowControl/>
        <w:adjustRightInd w:val="0"/>
        <w:spacing w:line="360" w:lineRule="auto"/>
        <w:ind w:left="150" w:firstLine="1680"/>
        <w:jc w:val="center"/>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7"/>
        <w:spacing w:after="0" w:line="360" w:lineRule="auto"/>
        <w:rPr>
          <w:rFonts w:ascii="宋体" w:hAnsi="宋体" w:cs="宋体"/>
          <w:b/>
          <w:sz w:val="24"/>
        </w:rPr>
      </w:pPr>
    </w:p>
    <w:p>
      <w:pPr>
        <w:spacing w:line="500" w:lineRule="exact"/>
        <w:rPr>
          <w:rFonts w:ascii="宋体" w:hAnsi="宋体" w:cs="宋体"/>
          <w:b/>
          <w:sz w:val="28"/>
          <w:szCs w:val="28"/>
        </w:rPr>
      </w:pPr>
    </w:p>
    <w:p>
      <w:pPr>
        <w:spacing w:line="500" w:lineRule="exact"/>
        <w:rPr>
          <w:rFonts w:ascii="宋体" w:hAnsi="宋体" w:cs="宋体"/>
          <w:b/>
          <w:sz w:val="28"/>
          <w:szCs w:val="28"/>
        </w:rPr>
      </w:pPr>
    </w:p>
    <w:p>
      <w:pPr>
        <w:spacing w:line="500" w:lineRule="exact"/>
        <w:rPr>
          <w:rFonts w:ascii="宋体" w:hAnsi="宋体" w:cs="宋体"/>
          <w:b/>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ascii="宋体" w:hAnsi="宋体" w:cs="宋体"/>
          <w:b/>
          <w:sz w:val="32"/>
          <w:szCs w:val="32"/>
        </w:rPr>
      </w:pPr>
    </w:p>
    <w:p>
      <w:pPr>
        <w:spacing w:line="480" w:lineRule="exact"/>
        <w:jc w:val="center"/>
        <w:outlineLvl w:val="0"/>
        <w:rPr>
          <w:rFonts w:ascii="宋体" w:hAnsi="宋体" w:cs="宋体"/>
          <w:b/>
          <w:sz w:val="32"/>
          <w:szCs w:val="32"/>
        </w:rPr>
      </w:pPr>
      <w:bookmarkStart w:id="27" w:name="_Toc27510"/>
      <w:r>
        <w:rPr>
          <w:rFonts w:hint="eastAsia" w:ascii="宋体" w:hAnsi="宋体" w:cs="宋体"/>
          <w:b/>
          <w:sz w:val="32"/>
          <w:szCs w:val="32"/>
        </w:rPr>
        <w:t>开标一览表</w:t>
      </w:r>
      <w:bookmarkEnd w:id="27"/>
    </w:p>
    <w:p/>
    <w:p>
      <w:pPr>
        <w:autoSpaceDE w:val="0"/>
        <w:autoSpaceDN w:val="0"/>
        <w:adjustRightInd w:val="0"/>
        <w:spacing w:line="360" w:lineRule="auto"/>
        <w:rPr>
          <w:rFonts w:ascii="宋体" w:hAnsi="宋体" w:cs="宋体"/>
          <w:b/>
          <w:bCs/>
          <w:sz w:val="28"/>
          <w:szCs w:val="28"/>
          <w:lang w:val="zh-CN"/>
        </w:rPr>
      </w:pPr>
    </w:p>
    <w:p>
      <w:pPr>
        <w:autoSpaceDE w:val="0"/>
        <w:autoSpaceDN w:val="0"/>
        <w:adjustRightInd w:val="0"/>
        <w:spacing w:line="360" w:lineRule="auto"/>
        <w:rPr>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22</w:t>
      </w:r>
      <w:r>
        <w:rPr>
          <w:rFonts w:hint="eastAsia" w:ascii="宋体" w:hAnsi="宋体" w:cs="宋体"/>
          <w:b/>
          <w:sz w:val="28"/>
          <w:szCs w:val="28"/>
          <w:lang w:val="zh-CN"/>
        </w:rPr>
        <w:t>-</w:t>
      </w:r>
      <w:r>
        <w:rPr>
          <w:rFonts w:hint="eastAsia" w:ascii="宋体" w:hAnsi="宋体" w:cs="宋体"/>
          <w:b/>
          <w:sz w:val="28"/>
          <w:szCs w:val="28"/>
        </w:rPr>
        <w:t>43</w:t>
      </w:r>
      <w:r>
        <w:rPr>
          <w:rFonts w:hint="eastAsia" w:ascii="宋体" w:hAnsi="宋体" w:cs="宋体"/>
          <w:b/>
          <w:sz w:val="28"/>
          <w:szCs w:val="28"/>
          <w:lang w:val="zh-CN"/>
        </w:rPr>
        <w:t xml:space="preserve">         </w:t>
      </w:r>
    </w:p>
    <w:tbl>
      <w:tblPr>
        <w:tblStyle w:val="18"/>
        <w:tblpPr w:leftFromText="180" w:rightFromText="180" w:vertAnchor="text" w:horzAnchor="page" w:tblpXSpec="center" w:tblpY="938"/>
        <w:tblOverlap w:val="never"/>
        <w:tblW w:w="9099" w:type="dxa"/>
        <w:jc w:val="center"/>
        <w:tblLayout w:type="fixed"/>
        <w:tblCellMar>
          <w:top w:w="0" w:type="dxa"/>
          <w:left w:w="108" w:type="dxa"/>
          <w:bottom w:w="0" w:type="dxa"/>
          <w:right w:w="108" w:type="dxa"/>
        </w:tblCellMar>
      </w:tblPr>
      <w:tblGrid>
        <w:gridCol w:w="2623"/>
        <w:gridCol w:w="6476"/>
      </w:tblGrid>
      <w:tr>
        <w:tblPrEx>
          <w:tblCellMar>
            <w:top w:w="0" w:type="dxa"/>
            <w:left w:w="108" w:type="dxa"/>
            <w:bottom w:w="0" w:type="dxa"/>
            <w:right w:w="108" w:type="dxa"/>
          </w:tblCellMar>
        </w:tblPrEx>
        <w:trPr>
          <w:trHeight w:val="453" w:hRule="atLeast"/>
          <w:jc w:val="center"/>
        </w:trPr>
        <w:tc>
          <w:tcPr>
            <w:tcW w:w="262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1181" w:hanging="1180" w:hangingChars="492"/>
              <w:jc w:val="center"/>
              <w:rPr>
                <w:rFonts w:ascii="宋体" w:hAnsi="宋体"/>
                <w:bCs/>
                <w:sz w:val="24"/>
                <w:lang w:val="zh-CN"/>
              </w:rPr>
            </w:pPr>
            <w:r>
              <w:rPr>
                <w:rFonts w:hint="eastAsia" w:ascii="宋体" w:hAnsi="宋体"/>
                <w:bCs/>
                <w:sz w:val="24"/>
                <w:lang w:val="zh-CN"/>
              </w:rPr>
              <w:t>报价内容</w:t>
            </w:r>
          </w:p>
        </w:tc>
        <w:tc>
          <w:tcPr>
            <w:tcW w:w="6476" w:type="dxa"/>
            <w:tcBorders>
              <w:top w:val="single" w:color="auto" w:sz="4" w:space="0"/>
              <w:left w:val="single" w:color="auto" w:sz="6" w:space="0"/>
              <w:bottom w:val="single" w:color="auto" w:sz="4" w:space="0"/>
              <w:right w:val="single" w:color="auto" w:sz="6" w:space="0"/>
            </w:tcBorders>
            <w:vAlign w:val="center"/>
          </w:tcPr>
          <w:p>
            <w:pPr>
              <w:widowControl/>
              <w:shd w:val="clear" w:color="auto" w:fill="FFFFFF"/>
              <w:spacing w:line="440" w:lineRule="exact"/>
              <w:jc w:val="center"/>
              <w:rPr>
                <w:rFonts w:ascii="宋体" w:hAnsi="宋体"/>
                <w:bCs/>
                <w:sz w:val="24"/>
                <w:lang w:val="zh-CN"/>
              </w:rPr>
            </w:pPr>
            <w:r>
              <w:rPr>
                <w:rFonts w:hint="eastAsia" w:ascii="宋体" w:hAnsi="宋体"/>
                <w:bCs/>
                <w:sz w:val="24"/>
                <w:lang w:val="zh-CN"/>
              </w:rPr>
              <w:t>报价金额（元）</w:t>
            </w:r>
          </w:p>
        </w:tc>
      </w:tr>
      <w:tr>
        <w:tblPrEx>
          <w:tblCellMar>
            <w:top w:w="0" w:type="dxa"/>
            <w:left w:w="108" w:type="dxa"/>
            <w:bottom w:w="0" w:type="dxa"/>
            <w:right w:w="108" w:type="dxa"/>
          </w:tblCellMar>
        </w:tblPrEx>
        <w:trPr>
          <w:trHeight w:val="648" w:hRule="atLeast"/>
          <w:jc w:val="center"/>
        </w:trPr>
        <w:tc>
          <w:tcPr>
            <w:tcW w:w="2623" w:type="dxa"/>
            <w:vMerge w:val="restart"/>
            <w:tcBorders>
              <w:top w:val="single" w:color="auto" w:sz="4" w:space="0"/>
              <w:left w:val="single" w:color="auto" w:sz="4" w:space="0"/>
              <w:right w:val="single" w:color="auto" w:sz="4" w:space="0"/>
            </w:tcBorders>
            <w:vAlign w:val="center"/>
          </w:tcPr>
          <w:p>
            <w:pPr>
              <w:shd w:val="clear" w:color="auto" w:fill="FFFFFF"/>
              <w:spacing w:line="440" w:lineRule="exact"/>
              <w:jc w:val="center"/>
              <w:rPr>
                <w:rFonts w:ascii="宋体" w:hAnsi="宋体"/>
                <w:bCs/>
                <w:sz w:val="24"/>
              </w:rPr>
            </w:pPr>
            <w:r>
              <w:rPr>
                <w:rFonts w:hint="eastAsia" w:ascii="宋体" w:hAnsi="宋体"/>
                <w:color w:val="000000"/>
                <w:spacing w:val="20"/>
                <w:sz w:val="28"/>
                <w:szCs w:val="32"/>
              </w:rPr>
              <w:t>设备清查及数据比对项目</w:t>
            </w: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jc w:val="left"/>
              <w:rPr>
                <w:rFonts w:ascii="宋体" w:hAnsi="宋体"/>
                <w:bCs/>
                <w:sz w:val="24"/>
              </w:rPr>
            </w:pPr>
            <w:r>
              <w:rPr>
                <w:rFonts w:hint="eastAsia" w:ascii="宋体" w:hAnsi="宋体"/>
                <w:bCs/>
                <w:sz w:val="24"/>
              </w:rPr>
              <w:t>（小写）￥：</w:t>
            </w:r>
            <w:r>
              <w:rPr>
                <w:rFonts w:ascii="宋体" w:hAnsi="宋体"/>
                <w:bCs/>
                <w:sz w:val="24"/>
              </w:rPr>
              <w:t xml:space="preserve"> </w:t>
            </w:r>
          </w:p>
        </w:tc>
      </w:tr>
      <w:tr>
        <w:tblPrEx>
          <w:tblCellMar>
            <w:top w:w="0" w:type="dxa"/>
            <w:left w:w="108" w:type="dxa"/>
            <w:bottom w:w="0" w:type="dxa"/>
            <w:right w:w="108" w:type="dxa"/>
          </w:tblCellMar>
        </w:tblPrEx>
        <w:trPr>
          <w:trHeight w:val="658" w:hRule="atLeast"/>
          <w:jc w:val="center"/>
        </w:trPr>
        <w:tc>
          <w:tcPr>
            <w:tcW w:w="2623" w:type="dxa"/>
            <w:vMerge w:val="continue"/>
            <w:tcBorders>
              <w:left w:val="single" w:color="auto" w:sz="4" w:space="0"/>
              <w:bottom w:val="single" w:color="auto" w:sz="4" w:space="0"/>
              <w:right w:val="single" w:color="auto" w:sz="4" w:space="0"/>
            </w:tcBorders>
            <w:vAlign w:val="center"/>
          </w:tcPr>
          <w:p>
            <w:pPr>
              <w:widowControl/>
              <w:shd w:val="clear" w:color="auto" w:fill="FFFFFF"/>
              <w:spacing w:line="440" w:lineRule="exact"/>
              <w:jc w:val="center"/>
              <w:rPr>
                <w:rFonts w:ascii="宋体" w:hAnsi="宋体"/>
                <w:bCs/>
                <w:sz w:val="24"/>
              </w:rPr>
            </w:pP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rPr>
                <w:rFonts w:ascii="宋体" w:hAnsi="宋体"/>
                <w:bCs/>
                <w:sz w:val="24"/>
              </w:rPr>
            </w:pPr>
            <w:r>
              <w:rPr>
                <w:rFonts w:hint="eastAsia" w:ascii="宋体" w:hAnsi="宋体"/>
                <w:bCs/>
                <w:sz w:val="24"/>
              </w:rPr>
              <w:t>（大写）人民币：</w:t>
            </w:r>
          </w:p>
        </w:tc>
      </w:tr>
    </w:tbl>
    <w:p>
      <w:pPr>
        <w:autoSpaceDE w:val="0"/>
        <w:autoSpaceDN w:val="0"/>
        <w:adjustRightInd w:val="0"/>
        <w:spacing w:line="360" w:lineRule="auto"/>
        <w:rPr>
          <w:rFonts w:ascii="宋体" w:hAnsi="宋体" w:cs="宋体"/>
          <w:b/>
          <w:bCs/>
          <w:sz w:val="28"/>
          <w:szCs w:val="28"/>
          <w:lang w:val="zh-CN"/>
        </w:rPr>
      </w:pPr>
      <w:r>
        <w:rPr>
          <w:rFonts w:hint="eastAsia" w:ascii="宋体" w:hAnsi="宋体" w:cs="宋体"/>
          <w:b/>
          <w:bCs/>
          <w:sz w:val="28"/>
          <w:szCs w:val="28"/>
          <w:lang w:val="zh-CN"/>
        </w:rPr>
        <w:t>项目名称：</w:t>
      </w:r>
      <w:r>
        <w:rPr>
          <w:rFonts w:hint="eastAsia" w:ascii="宋体" w:hAnsi="宋体" w:cs="宋体"/>
          <w:b/>
          <w:bCs/>
          <w:sz w:val="28"/>
          <w:szCs w:val="28"/>
        </w:rPr>
        <w:t>衢州学院废含汞试剂处置项目</w:t>
      </w:r>
    </w:p>
    <w:p>
      <w:pPr>
        <w:autoSpaceDE w:val="0"/>
        <w:autoSpaceDN w:val="0"/>
        <w:adjustRightInd w:val="0"/>
        <w:spacing w:line="360" w:lineRule="auto"/>
        <w:rPr>
          <w:rFonts w:ascii="宋体" w:hAnsi="宋体" w:cs="宋体"/>
          <w:b/>
          <w:sz w:val="28"/>
          <w:szCs w:val="28"/>
          <w:lang w:val="zh-CN"/>
        </w:rPr>
      </w:pPr>
    </w:p>
    <w:p>
      <w:pPr>
        <w:pStyle w:val="2"/>
        <w:shd w:val="clear" w:color="auto" w:fill="FFFFFF"/>
        <w:spacing w:line="360" w:lineRule="auto"/>
        <w:rPr>
          <w:rFonts w:hAnsi="宋体" w:cs="宋体"/>
          <w:b/>
          <w:bCs/>
          <w:sz w:val="24"/>
        </w:rPr>
      </w:pPr>
      <w:r>
        <w:rPr>
          <w:rFonts w:hint="eastAsia" w:hAnsi="宋体" w:cs="宋体"/>
          <w:b/>
          <w:bCs/>
          <w:sz w:val="24"/>
        </w:rPr>
        <w:t>备注：</w:t>
      </w:r>
    </w:p>
    <w:p>
      <w:pPr>
        <w:widowControl/>
        <w:shd w:val="clear" w:color="auto" w:fill="FFFFFF"/>
        <w:tabs>
          <w:tab w:val="left" w:pos="720"/>
        </w:tabs>
        <w:adjustRightInd w:val="0"/>
        <w:spacing w:line="360" w:lineRule="auto"/>
        <w:ind w:right="17" w:rightChars="8" w:firstLine="480" w:firstLineChars="200"/>
        <w:jc w:val="left"/>
        <w:rPr>
          <w:rFonts w:ascii="宋体" w:hAnsi="宋体" w:cs="宋体"/>
          <w:b/>
          <w:bCs/>
          <w:sz w:val="24"/>
        </w:rPr>
      </w:pPr>
      <w:r>
        <w:rPr>
          <w:rFonts w:hint="eastAsia" w:ascii="宋体" w:hAnsi="宋体" w:cs="宋体"/>
          <w:sz w:val="24"/>
        </w:rPr>
        <w:t>1.报价为报价人所能承受的一次性最终报价，以人民币为结算币种，包括调研费、清查费、人员费、税费等所有费用，即按招标人要求完成项目的完工价格，并由中标单位开具正式发票。</w:t>
      </w:r>
    </w:p>
    <w:p>
      <w:pPr>
        <w:pStyle w:val="2"/>
        <w:shd w:val="clear" w:color="auto" w:fill="FFFFFF"/>
        <w:spacing w:line="360" w:lineRule="auto"/>
        <w:ind w:firstLine="480" w:firstLineChars="200"/>
        <w:rPr>
          <w:rFonts w:hAnsi="宋体" w:cs="宋体"/>
          <w:sz w:val="24"/>
        </w:rPr>
      </w:pPr>
      <w:r>
        <w:rPr>
          <w:rFonts w:hint="eastAsia" w:hAnsi="宋体" w:cs="宋体"/>
          <w:sz w:val="24"/>
        </w:rPr>
        <w:t>2.此表可在不改变格式的情况下自行添加行数，所填内容必须打印。</w:t>
      </w:r>
    </w:p>
    <w:p>
      <w:pPr>
        <w:pStyle w:val="2"/>
        <w:shd w:val="clear" w:color="auto" w:fill="FFFFFF"/>
        <w:spacing w:line="390" w:lineRule="exact"/>
        <w:ind w:firstLine="480" w:firstLineChars="200"/>
        <w:rPr>
          <w:rFonts w:hAnsi="宋体" w:cs="宋体"/>
          <w:sz w:val="24"/>
        </w:rPr>
      </w:pPr>
    </w:p>
    <w:p>
      <w:pPr>
        <w:pStyle w:val="2"/>
        <w:shd w:val="clear" w:color="auto" w:fill="FFFFFF"/>
        <w:spacing w:line="390" w:lineRule="exact"/>
        <w:ind w:firstLine="480" w:firstLineChars="200"/>
        <w:rPr>
          <w:rFonts w:hAnsi="宋体" w:cs="宋体"/>
          <w:sz w:val="24"/>
        </w:rPr>
      </w:pP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 xml:space="preserve">投标人（公章）：                     </w:t>
      </w:r>
    </w:p>
    <w:p>
      <w:pPr>
        <w:autoSpaceDE w:val="0"/>
        <w:autoSpaceDN w:val="0"/>
        <w:adjustRightInd w:val="0"/>
        <w:spacing w:line="480" w:lineRule="auto"/>
        <w:ind w:firstLine="280"/>
        <w:rPr>
          <w:rFonts w:ascii="宋体" w:hAnsi="宋体" w:cs="宋体"/>
          <w:b/>
          <w:sz w:val="28"/>
          <w:szCs w:val="28"/>
        </w:rPr>
      </w:pPr>
      <w:r>
        <w:rPr>
          <w:rFonts w:hint="eastAsia" w:ascii="宋体" w:hAnsi="宋体" w:cs="宋体"/>
          <w:sz w:val="28"/>
          <w:szCs w:val="28"/>
          <w:lang w:val="zh-CN"/>
        </w:rPr>
        <w:t>全权代表签字：             职务：         日期：</w:t>
      </w: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rPr>
          <w:rFonts w:ascii="宋体" w:hAnsi="宋体" w:cs="宋体"/>
          <w:b/>
          <w:bCs/>
          <w:sz w:val="28"/>
          <w:szCs w:val="28"/>
        </w:rPr>
      </w:pPr>
    </w:p>
    <w:p>
      <w:pPr>
        <w:spacing w:line="480" w:lineRule="exact"/>
        <w:ind w:left="480"/>
        <w:jc w:val="center"/>
        <w:outlineLvl w:val="0"/>
        <w:rPr>
          <w:rFonts w:ascii="宋体" w:hAnsi="宋体" w:cs="宋体"/>
          <w:b/>
          <w:color w:val="000000" w:themeColor="text1"/>
          <w:sz w:val="32"/>
          <w:szCs w:val="32"/>
        </w:rPr>
      </w:pPr>
      <w:bookmarkStart w:id="28" w:name="_Toc24152"/>
      <w:r>
        <w:rPr>
          <w:rFonts w:hint="eastAsia" w:ascii="宋体" w:hAnsi="宋体" w:cs="宋体"/>
          <w:b/>
          <w:color w:val="000000" w:themeColor="text1"/>
          <w:sz w:val="32"/>
          <w:szCs w:val="32"/>
        </w:rPr>
        <w:t>服务项目清单及报价表</w:t>
      </w:r>
      <w:bookmarkEnd w:id="28"/>
    </w:p>
    <w:p>
      <w:pPr>
        <w:autoSpaceDE w:val="0"/>
        <w:autoSpaceDN w:val="0"/>
        <w:adjustRightInd w:val="0"/>
        <w:rPr>
          <w:rFonts w:ascii="宋体" w:hAnsi="宋体" w:cs="宋体"/>
          <w:b/>
          <w:bCs/>
          <w:color w:val="000000" w:themeColor="text1"/>
          <w:sz w:val="28"/>
          <w:szCs w:val="28"/>
          <w:lang w:val="zh-CN"/>
        </w:rPr>
      </w:pPr>
    </w:p>
    <w:p>
      <w:pPr>
        <w:autoSpaceDE w:val="0"/>
        <w:autoSpaceDN w:val="0"/>
        <w:adjustRightInd w:val="0"/>
        <w:spacing w:line="360" w:lineRule="auto"/>
        <w:ind w:firstLine="283"/>
        <w:jc w:val="left"/>
        <w:rPr>
          <w:rFonts w:ascii="宋体" w:hAnsi="宋体" w:cs="宋体"/>
          <w:b/>
          <w:bCs/>
          <w:color w:val="000000" w:themeColor="text1"/>
          <w:sz w:val="30"/>
          <w:szCs w:val="30"/>
        </w:rPr>
      </w:pPr>
      <w:r>
        <w:rPr>
          <w:rFonts w:hint="eastAsia" w:ascii="宋体" w:hAnsi="宋体" w:cs="宋体"/>
          <w:b/>
          <w:bCs/>
          <w:color w:val="000000" w:themeColor="text1"/>
          <w:sz w:val="30"/>
          <w:szCs w:val="30"/>
          <w:lang w:val="zh-CN"/>
        </w:rPr>
        <w:t>项目编号：衢院招20</w:t>
      </w:r>
      <w:r>
        <w:rPr>
          <w:rFonts w:hint="eastAsia" w:ascii="宋体" w:hAnsi="宋体" w:cs="宋体"/>
          <w:b/>
          <w:bCs/>
          <w:color w:val="000000" w:themeColor="text1"/>
          <w:sz w:val="30"/>
          <w:szCs w:val="30"/>
        </w:rPr>
        <w:t>22-43</w:t>
      </w:r>
    </w:p>
    <w:p>
      <w:pPr>
        <w:spacing w:line="360" w:lineRule="auto"/>
        <w:ind w:firstLine="301" w:firstLineChars="100"/>
        <w:rPr>
          <w:rFonts w:ascii="宋体" w:hAnsi="宋体" w:cs="宋体"/>
          <w:b/>
          <w:bCs/>
          <w:color w:val="000000" w:themeColor="text1"/>
          <w:sz w:val="30"/>
          <w:szCs w:val="30"/>
          <w:lang w:val="zh-CN"/>
        </w:rPr>
      </w:pPr>
      <w:r>
        <w:rPr>
          <w:rFonts w:hint="eastAsia" w:ascii="宋体" w:hAnsi="宋体" w:cs="宋体"/>
          <w:b/>
          <w:bCs/>
          <w:color w:val="000000" w:themeColor="text1"/>
          <w:sz w:val="30"/>
          <w:szCs w:val="30"/>
          <w:lang w:val="zh-CN"/>
        </w:rPr>
        <w:t>项目名称：</w:t>
      </w:r>
      <w:r>
        <w:rPr>
          <w:rFonts w:hint="eastAsia" w:ascii="宋体" w:hAnsi="宋体" w:cs="宋体"/>
          <w:b/>
          <w:bCs/>
          <w:sz w:val="28"/>
          <w:szCs w:val="28"/>
        </w:rPr>
        <w:t>衢州学院废含汞试剂处置项目</w:t>
      </w:r>
    </w:p>
    <w:tbl>
      <w:tblPr>
        <w:tblStyle w:val="18"/>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2"/>
              <w:snapToGrid w:val="0"/>
              <w:spacing w:line="240" w:lineRule="atLeast"/>
              <w:ind w:firstLine="3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center"/>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2"/>
              <w:snapToGrid w:val="0"/>
              <w:spacing w:line="240" w:lineRule="atLeast"/>
              <w:ind w:firstLine="300" w:firstLineChars="100"/>
              <w:jc w:val="center"/>
              <w:rPr>
                <w:rFonts w:ascii="Times New Roman" w:hAnsi="Times New Roman"/>
                <w:color w:val="000000"/>
                <w:kern w:val="2"/>
                <w:sz w:val="30"/>
                <w:szCs w:val="30"/>
              </w:rPr>
            </w:pPr>
          </w:p>
        </w:tc>
      </w:tr>
    </w:tbl>
    <w:p>
      <w:pPr>
        <w:pStyle w:val="2"/>
        <w:shd w:val="clear" w:color="auto" w:fill="FFFFFF"/>
        <w:spacing w:line="360" w:lineRule="auto"/>
        <w:ind w:firstLine="241"/>
        <w:rPr>
          <w:rFonts w:ascii="Times New Roman" w:hAnsi="Times New Roman"/>
          <w:b/>
          <w:bCs/>
          <w:color w:val="000000"/>
          <w:sz w:val="24"/>
        </w:rPr>
      </w:pPr>
      <w:r>
        <w:rPr>
          <w:rFonts w:ascii="Times New Roman" w:hAnsi="Times New Roman"/>
          <w:b/>
          <w:bCs/>
          <w:color w:val="000000"/>
          <w:sz w:val="24"/>
        </w:rPr>
        <w:t>备注：</w:t>
      </w:r>
    </w:p>
    <w:p>
      <w:pPr>
        <w:pStyle w:val="2"/>
        <w:shd w:val="clear" w:color="auto" w:fill="FFFFFF"/>
        <w:spacing w:line="360" w:lineRule="auto"/>
        <w:ind w:firstLine="480" w:firstLineChars="200"/>
        <w:jc w:val="both"/>
        <w:rPr>
          <w:rFonts w:ascii="Times New Roman" w:hAnsi="Times New Roman"/>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rFonts w:hint="eastAsia"/>
          <w:b/>
          <w:bCs/>
          <w:color w:val="000000"/>
          <w:sz w:val="24"/>
        </w:rPr>
        <w:t>处</w:t>
      </w:r>
      <w:r>
        <w:rPr>
          <w:b/>
          <w:bCs/>
          <w:color w:val="000000"/>
          <w:sz w:val="24"/>
        </w:rPr>
        <w:t>置、运输</w:t>
      </w:r>
      <w:r>
        <w:rPr>
          <w:rFonts w:hint="eastAsia"/>
          <w:b/>
          <w:bCs/>
          <w:color w:val="000000"/>
          <w:sz w:val="24"/>
        </w:rPr>
        <w:t>、</w:t>
      </w:r>
      <w:r>
        <w:rPr>
          <w:b/>
          <w:bCs/>
          <w:color w:val="000000"/>
          <w:sz w:val="24"/>
        </w:rPr>
        <w:t>服务、税费等一切费用</w:t>
      </w:r>
      <w:r>
        <w:rPr>
          <w:color w:val="000000"/>
          <w:sz w:val="24"/>
        </w:rPr>
        <w:t>，即按招标人要求完成项目的完工价格，并由</w:t>
      </w:r>
      <w:r>
        <w:rPr>
          <w:rFonts w:ascii="Times New Roman" w:hAnsi="Times New Roman"/>
          <w:color w:val="000000"/>
          <w:sz w:val="24"/>
        </w:rPr>
        <w:t>中标单位开具正式发票。</w:t>
      </w:r>
    </w:p>
    <w:p>
      <w:pPr>
        <w:pStyle w:val="2"/>
        <w:shd w:val="clear" w:color="auto" w:fill="FFFFFF"/>
        <w:spacing w:line="360" w:lineRule="auto"/>
        <w:ind w:firstLine="480" w:firstLineChars="200"/>
        <w:jc w:val="both"/>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2"/>
        <w:shd w:val="clear" w:color="auto" w:fill="FFFFFF"/>
        <w:spacing w:line="500" w:lineRule="exact"/>
        <w:ind w:left="814" w:firstLine="241"/>
        <w:rPr>
          <w:rFonts w:ascii="Times New Roman" w:hAnsi="Times New Roman"/>
          <w:b/>
          <w:bCs/>
          <w:color w:val="000000"/>
          <w:sz w:val="24"/>
        </w:rPr>
      </w:pPr>
    </w:p>
    <w:p>
      <w:pPr>
        <w:autoSpaceDE w:val="0"/>
        <w:autoSpaceDN w:val="0"/>
        <w:adjustRightInd w:val="0"/>
        <w:spacing w:line="360" w:lineRule="auto"/>
        <w:rPr>
          <w:color w:val="000000"/>
          <w:sz w:val="28"/>
          <w:szCs w:val="28"/>
        </w:rPr>
      </w:pPr>
      <w:r>
        <w:rPr>
          <w:color w:val="000000"/>
          <w:sz w:val="28"/>
          <w:szCs w:val="28"/>
          <w:lang w:val="zh-CN"/>
        </w:rPr>
        <w:t xml:space="preserve">投标人（公章）：                     </w:t>
      </w:r>
    </w:p>
    <w:p>
      <w:pPr>
        <w:pStyle w:val="2"/>
      </w:pPr>
      <w:r>
        <w:rPr>
          <w:color w:val="000000"/>
          <w:sz w:val="28"/>
          <w:szCs w:val="28"/>
          <w:lang w:val="zh-CN"/>
        </w:rPr>
        <w:t>投标人全权代表签字：             职务：         日期：</w:t>
      </w:r>
    </w:p>
    <w:p>
      <w:pPr>
        <w:spacing w:line="500" w:lineRule="exact"/>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outlineLvl w:val="0"/>
        <w:rPr>
          <w:rFonts w:ascii="宋体" w:hAnsi="宋体" w:cs="宋体"/>
          <w:b/>
          <w:bCs/>
          <w:sz w:val="32"/>
          <w:szCs w:val="32"/>
        </w:rPr>
      </w:pPr>
      <w:bookmarkStart w:id="29" w:name="_Toc20481"/>
      <w:r>
        <w:rPr>
          <w:rFonts w:hint="eastAsia" w:ascii="宋体" w:hAnsi="宋体" w:cs="宋体"/>
          <w:b/>
          <w:bCs/>
          <w:sz w:val="32"/>
          <w:szCs w:val="32"/>
        </w:rPr>
        <w:t>同类项目业绩一览表</w:t>
      </w:r>
      <w:bookmarkEnd w:id="29"/>
    </w:p>
    <w:p>
      <w:pPr>
        <w:autoSpaceDE w:val="0"/>
        <w:autoSpaceDN w:val="0"/>
        <w:adjustRightInd w:val="0"/>
        <w:spacing w:line="360" w:lineRule="auto"/>
        <w:ind w:firstLine="283"/>
        <w:jc w:val="left"/>
        <w:rPr>
          <w:rFonts w:ascii="宋体" w:hAnsi="宋体" w:cs="宋体"/>
          <w:b/>
          <w:sz w:val="28"/>
          <w:szCs w:val="28"/>
        </w:rPr>
      </w:pPr>
      <w:r>
        <w:rPr>
          <w:rFonts w:hint="eastAsia" w:ascii="宋体" w:hAnsi="宋体" w:cs="宋体"/>
          <w:b/>
          <w:bCs/>
          <w:sz w:val="28"/>
          <w:szCs w:val="28"/>
          <w:lang w:val="zh-CN"/>
        </w:rPr>
        <w:t>项目编号：</w:t>
      </w:r>
      <w:r>
        <w:rPr>
          <w:rFonts w:hint="eastAsia" w:ascii="宋体" w:hAnsi="宋体" w:cs="宋体"/>
          <w:b/>
          <w:bCs/>
          <w:color w:val="000000" w:themeColor="text1"/>
          <w:sz w:val="30"/>
          <w:szCs w:val="30"/>
          <w:lang w:val="zh-CN"/>
        </w:rPr>
        <w:t>衢院招20</w:t>
      </w:r>
      <w:r>
        <w:rPr>
          <w:rFonts w:hint="eastAsia" w:ascii="宋体" w:hAnsi="宋体" w:cs="宋体"/>
          <w:b/>
          <w:bCs/>
          <w:color w:val="000000" w:themeColor="text1"/>
          <w:sz w:val="30"/>
          <w:szCs w:val="30"/>
        </w:rPr>
        <w:t>22-43</w:t>
      </w:r>
    </w:p>
    <w:p>
      <w:pPr>
        <w:autoSpaceDE w:val="0"/>
        <w:autoSpaceDN w:val="0"/>
        <w:adjustRightInd w:val="0"/>
        <w:spacing w:line="360" w:lineRule="auto"/>
        <w:ind w:firstLine="281" w:firstLineChars="100"/>
        <w:rPr>
          <w:rFonts w:ascii="宋体" w:hAnsi="宋体" w:cs="宋体"/>
          <w:b/>
          <w:sz w:val="28"/>
          <w:szCs w:val="28"/>
          <w:u w:val="single"/>
          <w:lang w:val="zh-CN"/>
        </w:rPr>
      </w:pPr>
      <w:r>
        <w:rPr>
          <w:rFonts w:hint="eastAsia" w:ascii="宋体" w:hAnsi="宋体" w:cs="宋体"/>
          <w:b/>
          <w:bCs/>
          <w:sz w:val="28"/>
          <w:szCs w:val="28"/>
          <w:lang w:val="zh-CN"/>
        </w:rPr>
        <w:t>项目名称：</w:t>
      </w:r>
      <w:r>
        <w:rPr>
          <w:rFonts w:hint="eastAsia" w:ascii="宋体" w:hAnsi="宋体" w:cs="宋体"/>
          <w:b/>
          <w:bCs/>
          <w:sz w:val="28"/>
          <w:szCs w:val="28"/>
        </w:rPr>
        <w:t>衢州学院废含汞试剂处置项目</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color w:val="000000" w:themeColor="text1"/>
          <w:kern w:val="0"/>
          <w:sz w:val="32"/>
          <w:szCs w:val="32"/>
          <w:lang w:val="zh-CN"/>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w:t>
      </w:r>
      <w:r>
        <w:rPr>
          <w:rFonts w:hint="eastAsia" w:ascii="宋体" w:hAnsi="宋体" w:cs="宋体"/>
          <w:b/>
          <w:color w:val="000000" w:themeColor="text1"/>
          <w:kern w:val="0"/>
          <w:sz w:val="32"/>
          <w:szCs w:val="32"/>
          <w:lang w:val="zh-CN"/>
        </w:rPr>
        <w:t>质量保障和售后服务承诺书</w:t>
      </w:r>
    </w:p>
    <w:p>
      <w:pPr>
        <w:autoSpaceDE w:val="0"/>
        <w:autoSpaceDN w:val="0"/>
        <w:adjustRightInd w:val="0"/>
        <w:jc w:val="center"/>
        <w:rPr>
          <w:rFonts w:ascii="宋体" w:hAnsi="宋体" w:cs="宋体"/>
          <w:bCs/>
          <w:color w:val="000000" w:themeColor="text1"/>
          <w:kern w:val="0"/>
          <w:sz w:val="24"/>
        </w:rPr>
      </w:pPr>
    </w:p>
    <w:p>
      <w:pPr>
        <w:autoSpaceDE w:val="0"/>
        <w:autoSpaceDN w:val="0"/>
        <w:adjustRightInd w:val="0"/>
        <w:spacing w:line="360" w:lineRule="auto"/>
        <w:ind w:firstLine="283"/>
        <w:rPr>
          <w:rFonts w:ascii="宋体" w:hAnsi="宋体" w:cs="宋体"/>
          <w:b/>
          <w:color w:val="000000" w:themeColor="text1"/>
          <w:sz w:val="28"/>
          <w:szCs w:val="28"/>
        </w:rPr>
      </w:pPr>
      <w:r>
        <w:rPr>
          <w:rFonts w:hint="eastAsia" w:ascii="宋体" w:hAnsi="宋体" w:cs="宋体"/>
          <w:b/>
          <w:color w:val="000000" w:themeColor="text1"/>
          <w:sz w:val="28"/>
          <w:szCs w:val="28"/>
          <w:lang w:val="zh-CN"/>
        </w:rPr>
        <w:t>项目编号：衢院招20</w:t>
      </w:r>
      <w:r>
        <w:rPr>
          <w:rFonts w:hint="eastAsia" w:ascii="宋体" w:hAnsi="宋体" w:cs="宋体"/>
          <w:b/>
          <w:color w:val="000000" w:themeColor="text1"/>
          <w:sz w:val="28"/>
          <w:szCs w:val="28"/>
        </w:rPr>
        <w:t>22-43</w:t>
      </w:r>
    </w:p>
    <w:p>
      <w:pPr>
        <w:autoSpaceDE w:val="0"/>
        <w:autoSpaceDN w:val="0"/>
        <w:adjustRightInd w:val="0"/>
        <w:spacing w:line="360" w:lineRule="auto"/>
        <w:ind w:firstLine="283"/>
        <w:rPr>
          <w:rFonts w:ascii="宋体" w:hAnsi="宋体" w:cs="宋体"/>
          <w:b/>
          <w:color w:val="000000" w:themeColor="text1"/>
          <w:sz w:val="28"/>
          <w:szCs w:val="28"/>
        </w:rPr>
      </w:pPr>
      <w:r>
        <w:rPr>
          <w:rFonts w:hint="eastAsia" w:ascii="宋体" w:hAnsi="宋体" w:cs="宋体"/>
          <w:b/>
          <w:color w:val="000000" w:themeColor="text1"/>
          <w:sz w:val="28"/>
          <w:szCs w:val="28"/>
          <w:lang w:val="zh-CN"/>
        </w:rPr>
        <w:t>项目名称：</w:t>
      </w:r>
      <w:r>
        <w:rPr>
          <w:rFonts w:hint="eastAsia" w:ascii="宋体" w:hAnsi="宋体" w:cs="宋体"/>
          <w:b/>
          <w:bCs/>
          <w:sz w:val="28"/>
          <w:szCs w:val="28"/>
        </w:rPr>
        <w:t>衢州学院废含汞试剂处置项目</w:t>
      </w:r>
    </w:p>
    <w:tbl>
      <w:tblPr>
        <w:tblStyle w:val="18"/>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autoSpaceDE w:val="0"/>
        <w:autoSpaceDN w:val="0"/>
        <w:adjustRightInd w:val="0"/>
        <w:jc w:val="center"/>
        <w:rPr>
          <w:rFonts w:ascii="宋体" w:hAnsi="宋体" w:cs="宋体"/>
          <w:bCs/>
          <w:color w:val="000000" w:themeColor="text1"/>
          <w:kern w:val="0"/>
          <w:sz w:val="24"/>
        </w:rPr>
      </w:pPr>
    </w:p>
    <w:p>
      <w:pPr>
        <w:autoSpaceDE w:val="0"/>
        <w:autoSpaceDN w:val="0"/>
        <w:adjustRightInd w:val="0"/>
        <w:rPr>
          <w:rFonts w:ascii="宋体" w:hAnsi="宋体" w:cs="宋体"/>
          <w:bCs/>
          <w:sz w:val="28"/>
          <w:szCs w:val="28"/>
        </w:rPr>
      </w:pP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投标人全权代表签字：</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投标人（公章）：</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日期</w:t>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lang w:val="zh-CN"/>
        </w:rPr>
        <w:t>年</w:t>
      </w:r>
      <w:r>
        <w:rPr>
          <w:rFonts w:hint="eastAsia" w:ascii="宋体" w:hAnsi="宋体" w:cs="宋体"/>
          <w:bCs/>
          <w:sz w:val="28"/>
          <w:szCs w:val="28"/>
          <w:u w:val="single"/>
        </w:rPr>
        <w:t xml:space="preserve">      </w:t>
      </w:r>
      <w:r>
        <w:rPr>
          <w:rFonts w:hint="eastAsia" w:ascii="宋体" w:hAnsi="宋体" w:cs="宋体"/>
          <w:bCs/>
          <w:sz w:val="28"/>
          <w:szCs w:val="28"/>
          <w:lang w:val="zh-CN"/>
        </w:rPr>
        <w:t>月</w:t>
      </w:r>
      <w:r>
        <w:rPr>
          <w:rFonts w:hint="eastAsia" w:ascii="宋体" w:hAnsi="宋体" w:cs="宋体"/>
          <w:bCs/>
          <w:sz w:val="28"/>
          <w:szCs w:val="28"/>
          <w:u w:val="single"/>
        </w:rPr>
        <w:t xml:space="preserve">      </w:t>
      </w:r>
      <w:r>
        <w:rPr>
          <w:rFonts w:hint="eastAsia" w:ascii="宋体" w:hAnsi="宋体" w:cs="宋体"/>
          <w:bCs/>
          <w:sz w:val="28"/>
          <w:szCs w:val="28"/>
          <w:lang w:val="zh-CN"/>
        </w:rPr>
        <w:t>日</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2"/>
        <w:spacing w:line="500" w:lineRule="exact"/>
        <w:jc w:val="center"/>
        <w:rPr>
          <w:rFonts w:hAnsi="宋体" w:cs="宋体"/>
          <w:sz w:val="28"/>
          <w:szCs w:val="28"/>
        </w:rPr>
      </w:pPr>
    </w:p>
    <w:p>
      <w:pPr>
        <w:pStyle w:val="2"/>
        <w:spacing w:line="500" w:lineRule="exact"/>
        <w:jc w:val="center"/>
        <w:rPr>
          <w:rFonts w:hAnsi="宋体" w:cs="宋体"/>
          <w:sz w:val="28"/>
          <w:szCs w:val="28"/>
        </w:rPr>
      </w:pPr>
    </w:p>
    <w:p>
      <w:pPr>
        <w:pStyle w:val="29"/>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9"/>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ascii="宋体" w:hAnsi="宋体"/>
          <w:b/>
          <w:sz w:val="28"/>
          <w:szCs w:val="28"/>
          <w:lang w:val="en-GB"/>
        </w:rPr>
        <w:br w:type="page"/>
      </w:r>
      <w:r>
        <w:rPr>
          <w:rFonts w:hint="eastAsia" w:ascii="宋体" w:hAnsi="宋体"/>
          <w:b/>
          <w:sz w:val="28"/>
          <w:szCs w:val="28"/>
          <w:lang w:val="en-GB"/>
        </w:rPr>
        <w:t>格式十一：</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b/>
          <w:spacing w:val="6"/>
          <w:sz w:val="32"/>
          <w:szCs w:val="32"/>
        </w:rPr>
      </w:pPr>
      <w:r>
        <w:rPr>
          <w:rFonts w:ascii="宋体" w:hAnsi="宋体"/>
          <w:spacing w:val="6"/>
          <w:sz w:val="28"/>
          <w:szCs w:val="28"/>
        </w:rPr>
        <w:br w:type="page"/>
      </w:r>
      <w:r>
        <w:rPr>
          <w:rFonts w:hint="eastAsia" w:ascii="宋体" w:hAnsi="宋体"/>
          <w:b/>
          <w:sz w:val="28"/>
          <w:szCs w:val="28"/>
          <w:lang w:val="en-GB"/>
        </w:rPr>
        <w:t>格式十二：</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9"/>
        <w:spacing w:line="540" w:lineRule="exact"/>
        <w:ind w:firstLine="0" w:firstLineChars="0"/>
        <w:jc w:val="center"/>
        <w:rPr>
          <w:rFonts w:ascii="宋体" w:eastAsia="宋体"/>
          <w:sz w:val="28"/>
        </w:rPr>
      </w:pPr>
      <w:r>
        <w:rPr>
          <w:rFonts w:hint="eastAsia" w:ascii="宋体" w:eastAsia="宋体"/>
          <w:sz w:val="28"/>
        </w:rPr>
        <w:t xml:space="preserve">                                       日  期：</w:t>
      </w:r>
    </w:p>
    <w:p>
      <w:pPr>
        <w:pStyle w:val="23"/>
        <w:jc w:val="center"/>
        <w:rPr>
          <w:rFonts w:ascii="宋体" w:hAnsi="宋体"/>
          <w:sz w:val="28"/>
          <w:szCs w:val="28"/>
        </w:rPr>
      </w:pPr>
    </w:p>
    <w:p/>
    <w:p/>
    <w:p>
      <w:pPr>
        <w:autoSpaceDE w:val="0"/>
        <w:autoSpaceDN w:val="0"/>
        <w:adjustRightInd w:val="0"/>
        <w:spacing w:line="540" w:lineRule="exact"/>
        <w:jc w:val="center"/>
        <w:rPr>
          <w:rFonts w:ascii="宋体" w:hAnsi="宋体" w:cs="宋体"/>
          <w:b/>
          <w:bCs/>
          <w:sz w:val="36"/>
          <w:szCs w:val="36"/>
          <w:lang w:val="zh-CN"/>
        </w:rPr>
      </w:pPr>
    </w:p>
    <w:p>
      <w:pPr>
        <w:autoSpaceDE w:val="0"/>
        <w:autoSpaceDN w:val="0"/>
        <w:adjustRightInd w:val="0"/>
        <w:spacing w:line="540" w:lineRule="exact"/>
        <w:jc w:val="center"/>
        <w:rPr>
          <w:rFonts w:ascii="宋体" w:hAnsi="宋体" w:cs="宋体"/>
          <w:b/>
          <w:bCs/>
          <w:sz w:val="36"/>
          <w:szCs w:val="36"/>
          <w:lang w:val="zh-CN"/>
        </w:rPr>
      </w:pPr>
    </w:p>
    <w:p>
      <w:pPr>
        <w:autoSpaceDE w:val="0"/>
        <w:autoSpaceDN w:val="0"/>
        <w:adjustRightInd w:val="0"/>
        <w:spacing w:line="540" w:lineRule="exact"/>
        <w:jc w:val="center"/>
        <w:rPr>
          <w:rFonts w:ascii="宋体" w:hAnsi="宋体" w:cs="宋体"/>
          <w:b/>
          <w:bCs/>
          <w:sz w:val="36"/>
          <w:szCs w:val="36"/>
          <w:lang w:val="zh-CN"/>
        </w:rPr>
      </w:pPr>
    </w:p>
    <w:p>
      <w:pPr>
        <w:autoSpaceDE w:val="0"/>
        <w:autoSpaceDN w:val="0"/>
        <w:adjustRightInd w:val="0"/>
        <w:spacing w:line="540" w:lineRule="exact"/>
        <w:jc w:val="center"/>
        <w:rPr>
          <w:rFonts w:ascii="宋体" w:hAnsi="宋体" w:cs="宋体"/>
          <w:b/>
          <w:bCs/>
          <w:sz w:val="36"/>
          <w:szCs w:val="36"/>
          <w:lang w:val="zh-CN"/>
        </w:rPr>
      </w:pPr>
    </w:p>
    <w:p>
      <w:pPr>
        <w:spacing w:line="360" w:lineRule="auto"/>
        <w:jc w:val="left"/>
        <w:rPr>
          <w:rFonts w:ascii="宋体"/>
          <w:color w:val="000000"/>
          <w:sz w:val="24"/>
        </w:rPr>
      </w:pPr>
    </w:p>
    <w:p>
      <w:pPr>
        <w:spacing w:line="360" w:lineRule="auto"/>
        <w:rPr>
          <w:rFonts w:ascii="宋体" w:hAnsi="宋体" w:cs="宋体"/>
          <w:kern w:val="0"/>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ascii="宋体" w:hAnsi="宋体"/>
      </w:rPr>
    </w:pPr>
    <w:r>
      <w:rPr>
        <w:rFonts w:hint="eastAsia"/>
      </w:rPr>
      <w:t xml:space="preserve">                                     </w:t>
    </w:r>
    <w:r>
      <w:rPr>
        <w:rFonts w:hint="eastAsia" w:ascii="宋体" w:hAnsi="宋体"/>
      </w:rPr>
      <w:t>项目编号：衢院招2022-43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5AC7"/>
    <w:multiLevelType w:val="singleLevel"/>
    <w:tmpl w:val="92B65AC7"/>
    <w:lvl w:ilvl="0" w:tentative="0">
      <w:start w:val="2"/>
      <w:numFmt w:val="decimal"/>
      <w:lvlText w:val="(%1)"/>
      <w:lvlJc w:val="left"/>
      <w:pPr>
        <w:tabs>
          <w:tab w:val="left" w:pos="312"/>
        </w:tabs>
      </w:pPr>
    </w:lvl>
  </w:abstractNum>
  <w:abstractNum w:abstractNumId="1">
    <w:nsid w:val="1726A7A3"/>
    <w:multiLevelType w:val="singleLevel"/>
    <w:tmpl w:val="1726A7A3"/>
    <w:lvl w:ilvl="0" w:tentative="0">
      <w:start w:val="6"/>
      <w:numFmt w:val="chineseCounting"/>
      <w:suff w:val="nothing"/>
      <w:lvlText w:val="%1、"/>
      <w:lvlJc w:val="left"/>
      <w:rPr>
        <w:rFonts w:hint="eastAsia"/>
      </w:rPr>
    </w:lvl>
  </w:abstractNum>
  <w:abstractNum w:abstractNumId="2">
    <w:nsid w:val="56B30500"/>
    <w:multiLevelType w:val="singleLevel"/>
    <w:tmpl w:val="56B3050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yNDc5NTNlYWRmMjMxMTgwOGM3ZmQ0ZTFjZGM3N2IifQ=="/>
  </w:docVars>
  <w:rsids>
    <w:rsidRoot w:val="554657A9"/>
    <w:rsid w:val="0001582C"/>
    <w:rsid w:val="00015FA4"/>
    <w:rsid w:val="0003132E"/>
    <w:rsid w:val="000370DA"/>
    <w:rsid w:val="00053A51"/>
    <w:rsid w:val="00056F8C"/>
    <w:rsid w:val="00086EA8"/>
    <w:rsid w:val="000B112A"/>
    <w:rsid w:val="000B136E"/>
    <w:rsid w:val="000F465B"/>
    <w:rsid w:val="000F5520"/>
    <w:rsid w:val="00103986"/>
    <w:rsid w:val="00103CE9"/>
    <w:rsid w:val="00110CE1"/>
    <w:rsid w:val="00121242"/>
    <w:rsid w:val="00125A42"/>
    <w:rsid w:val="00142DE9"/>
    <w:rsid w:val="00145E38"/>
    <w:rsid w:val="00156A18"/>
    <w:rsid w:val="00156EB3"/>
    <w:rsid w:val="001571FE"/>
    <w:rsid w:val="00162132"/>
    <w:rsid w:val="00163C0F"/>
    <w:rsid w:val="00163E3F"/>
    <w:rsid w:val="0017637B"/>
    <w:rsid w:val="001828F1"/>
    <w:rsid w:val="00194ECF"/>
    <w:rsid w:val="001B0047"/>
    <w:rsid w:val="001B0223"/>
    <w:rsid w:val="001C0056"/>
    <w:rsid w:val="001C153E"/>
    <w:rsid w:val="001C7D4C"/>
    <w:rsid w:val="001D0BEB"/>
    <w:rsid w:val="001D40E2"/>
    <w:rsid w:val="001E2E33"/>
    <w:rsid w:val="001E424F"/>
    <w:rsid w:val="002012F3"/>
    <w:rsid w:val="002040E6"/>
    <w:rsid w:val="0021279B"/>
    <w:rsid w:val="002163A4"/>
    <w:rsid w:val="00226843"/>
    <w:rsid w:val="002343DF"/>
    <w:rsid w:val="00252C92"/>
    <w:rsid w:val="00260D1A"/>
    <w:rsid w:val="00265188"/>
    <w:rsid w:val="00267B5E"/>
    <w:rsid w:val="00273E0E"/>
    <w:rsid w:val="0028679E"/>
    <w:rsid w:val="00295F09"/>
    <w:rsid w:val="00296315"/>
    <w:rsid w:val="002A0F3A"/>
    <w:rsid w:val="002B09D1"/>
    <w:rsid w:val="002C2EFF"/>
    <w:rsid w:val="002C7142"/>
    <w:rsid w:val="002E0EEE"/>
    <w:rsid w:val="002F3AAA"/>
    <w:rsid w:val="00302586"/>
    <w:rsid w:val="003232A6"/>
    <w:rsid w:val="00327C9B"/>
    <w:rsid w:val="0033111D"/>
    <w:rsid w:val="0033434B"/>
    <w:rsid w:val="00360B97"/>
    <w:rsid w:val="0036355A"/>
    <w:rsid w:val="003709BC"/>
    <w:rsid w:val="0037184E"/>
    <w:rsid w:val="00371F23"/>
    <w:rsid w:val="00380941"/>
    <w:rsid w:val="00384905"/>
    <w:rsid w:val="00385022"/>
    <w:rsid w:val="00394D5C"/>
    <w:rsid w:val="003B07B8"/>
    <w:rsid w:val="003B519F"/>
    <w:rsid w:val="003D2C89"/>
    <w:rsid w:val="003D4C4C"/>
    <w:rsid w:val="003E6514"/>
    <w:rsid w:val="004320A7"/>
    <w:rsid w:val="00433092"/>
    <w:rsid w:val="004450AA"/>
    <w:rsid w:val="00447739"/>
    <w:rsid w:val="00451082"/>
    <w:rsid w:val="00457C32"/>
    <w:rsid w:val="00460469"/>
    <w:rsid w:val="004627D3"/>
    <w:rsid w:val="00497B9E"/>
    <w:rsid w:val="004A5C59"/>
    <w:rsid w:val="004B2924"/>
    <w:rsid w:val="004B6CCB"/>
    <w:rsid w:val="004C5981"/>
    <w:rsid w:val="00510149"/>
    <w:rsid w:val="00531BE3"/>
    <w:rsid w:val="00534836"/>
    <w:rsid w:val="00547569"/>
    <w:rsid w:val="00553648"/>
    <w:rsid w:val="00553F11"/>
    <w:rsid w:val="005612F7"/>
    <w:rsid w:val="00565780"/>
    <w:rsid w:val="00574609"/>
    <w:rsid w:val="0057483F"/>
    <w:rsid w:val="00584755"/>
    <w:rsid w:val="005C3325"/>
    <w:rsid w:val="005D4250"/>
    <w:rsid w:val="005D4FF5"/>
    <w:rsid w:val="005D69DD"/>
    <w:rsid w:val="005D6CF7"/>
    <w:rsid w:val="00602A43"/>
    <w:rsid w:val="00603A47"/>
    <w:rsid w:val="0060576B"/>
    <w:rsid w:val="0061467E"/>
    <w:rsid w:val="0061552F"/>
    <w:rsid w:val="00616AEF"/>
    <w:rsid w:val="00617CF3"/>
    <w:rsid w:val="006244C4"/>
    <w:rsid w:val="00632C0F"/>
    <w:rsid w:val="00637D3F"/>
    <w:rsid w:val="00651544"/>
    <w:rsid w:val="00651CE5"/>
    <w:rsid w:val="00652EB5"/>
    <w:rsid w:val="00654D78"/>
    <w:rsid w:val="0066452F"/>
    <w:rsid w:val="00693A28"/>
    <w:rsid w:val="00693D33"/>
    <w:rsid w:val="006A2B43"/>
    <w:rsid w:val="006B1310"/>
    <w:rsid w:val="006B6354"/>
    <w:rsid w:val="006E3930"/>
    <w:rsid w:val="006E611C"/>
    <w:rsid w:val="006F63A7"/>
    <w:rsid w:val="00701FE5"/>
    <w:rsid w:val="007067B2"/>
    <w:rsid w:val="00713DA0"/>
    <w:rsid w:val="007168FA"/>
    <w:rsid w:val="00721DDC"/>
    <w:rsid w:val="00727664"/>
    <w:rsid w:val="007310B1"/>
    <w:rsid w:val="00736725"/>
    <w:rsid w:val="00746746"/>
    <w:rsid w:val="0075110A"/>
    <w:rsid w:val="007631EA"/>
    <w:rsid w:val="00780977"/>
    <w:rsid w:val="00784713"/>
    <w:rsid w:val="007A5A99"/>
    <w:rsid w:val="007B1FA0"/>
    <w:rsid w:val="007B741B"/>
    <w:rsid w:val="007C1C77"/>
    <w:rsid w:val="007D59C2"/>
    <w:rsid w:val="007D6D94"/>
    <w:rsid w:val="007D6DC7"/>
    <w:rsid w:val="007F6651"/>
    <w:rsid w:val="00803114"/>
    <w:rsid w:val="00820A01"/>
    <w:rsid w:val="008255C9"/>
    <w:rsid w:val="0082593B"/>
    <w:rsid w:val="00831ABF"/>
    <w:rsid w:val="0083264C"/>
    <w:rsid w:val="008360A1"/>
    <w:rsid w:val="0084324A"/>
    <w:rsid w:val="008434EF"/>
    <w:rsid w:val="0084583F"/>
    <w:rsid w:val="00856E30"/>
    <w:rsid w:val="0085776F"/>
    <w:rsid w:val="008659B5"/>
    <w:rsid w:val="00874299"/>
    <w:rsid w:val="00886B39"/>
    <w:rsid w:val="00896977"/>
    <w:rsid w:val="00897A8B"/>
    <w:rsid w:val="008A4706"/>
    <w:rsid w:val="008A7739"/>
    <w:rsid w:val="008B1694"/>
    <w:rsid w:val="008B2FDE"/>
    <w:rsid w:val="008B78EA"/>
    <w:rsid w:val="008C5F1B"/>
    <w:rsid w:val="008D13AD"/>
    <w:rsid w:val="00907040"/>
    <w:rsid w:val="0091700F"/>
    <w:rsid w:val="009205CA"/>
    <w:rsid w:val="00920EBA"/>
    <w:rsid w:val="009279E5"/>
    <w:rsid w:val="009654F0"/>
    <w:rsid w:val="00971761"/>
    <w:rsid w:val="00976761"/>
    <w:rsid w:val="00977B08"/>
    <w:rsid w:val="00982524"/>
    <w:rsid w:val="00982BB4"/>
    <w:rsid w:val="00985C27"/>
    <w:rsid w:val="00993D93"/>
    <w:rsid w:val="009A24BB"/>
    <w:rsid w:val="009A5C85"/>
    <w:rsid w:val="009B7711"/>
    <w:rsid w:val="009C4AF3"/>
    <w:rsid w:val="009D45CD"/>
    <w:rsid w:val="009D5CBA"/>
    <w:rsid w:val="009D6963"/>
    <w:rsid w:val="009E2478"/>
    <w:rsid w:val="00A0364C"/>
    <w:rsid w:val="00A14CB7"/>
    <w:rsid w:val="00A16EA6"/>
    <w:rsid w:val="00A17E9B"/>
    <w:rsid w:val="00A212DD"/>
    <w:rsid w:val="00A360E1"/>
    <w:rsid w:val="00A440B8"/>
    <w:rsid w:val="00A614AA"/>
    <w:rsid w:val="00A635A9"/>
    <w:rsid w:val="00A71191"/>
    <w:rsid w:val="00A809CB"/>
    <w:rsid w:val="00A83435"/>
    <w:rsid w:val="00A87B97"/>
    <w:rsid w:val="00A90096"/>
    <w:rsid w:val="00A92765"/>
    <w:rsid w:val="00A957B4"/>
    <w:rsid w:val="00AB6FA8"/>
    <w:rsid w:val="00AD0CD5"/>
    <w:rsid w:val="00B14161"/>
    <w:rsid w:val="00B21BA4"/>
    <w:rsid w:val="00B46D40"/>
    <w:rsid w:val="00B7711C"/>
    <w:rsid w:val="00B86A6B"/>
    <w:rsid w:val="00B9369E"/>
    <w:rsid w:val="00BE6AAC"/>
    <w:rsid w:val="00BF1F6D"/>
    <w:rsid w:val="00BF70BA"/>
    <w:rsid w:val="00BF77D2"/>
    <w:rsid w:val="00C012DA"/>
    <w:rsid w:val="00C379BF"/>
    <w:rsid w:val="00C609E8"/>
    <w:rsid w:val="00C722B8"/>
    <w:rsid w:val="00CB24E3"/>
    <w:rsid w:val="00CB40FF"/>
    <w:rsid w:val="00CD54AB"/>
    <w:rsid w:val="00CD75C2"/>
    <w:rsid w:val="00CE58F8"/>
    <w:rsid w:val="00CE7DDE"/>
    <w:rsid w:val="00CF4C6A"/>
    <w:rsid w:val="00CF57D2"/>
    <w:rsid w:val="00D04271"/>
    <w:rsid w:val="00D123E1"/>
    <w:rsid w:val="00D12773"/>
    <w:rsid w:val="00D140B3"/>
    <w:rsid w:val="00D21257"/>
    <w:rsid w:val="00D23770"/>
    <w:rsid w:val="00D25FAE"/>
    <w:rsid w:val="00D30C51"/>
    <w:rsid w:val="00D33E99"/>
    <w:rsid w:val="00D357A2"/>
    <w:rsid w:val="00D6483B"/>
    <w:rsid w:val="00D9593D"/>
    <w:rsid w:val="00D97297"/>
    <w:rsid w:val="00DC1E79"/>
    <w:rsid w:val="00DD7797"/>
    <w:rsid w:val="00DE57C7"/>
    <w:rsid w:val="00DF1072"/>
    <w:rsid w:val="00E04136"/>
    <w:rsid w:val="00E34060"/>
    <w:rsid w:val="00E43547"/>
    <w:rsid w:val="00E651C2"/>
    <w:rsid w:val="00E72E84"/>
    <w:rsid w:val="00E7692A"/>
    <w:rsid w:val="00E778A0"/>
    <w:rsid w:val="00E90703"/>
    <w:rsid w:val="00EC3749"/>
    <w:rsid w:val="00ED6F24"/>
    <w:rsid w:val="00EF282F"/>
    <w:rsid w:val="00EF386B"/>
    <w:rsid w:val="00EF4ABD"/>
    <w:rsid w:val="00F1624C"/>
    <w:rsid w:val="00F30D09"/>
    <w:rsid w:val="00F30D6D"/>
    <w:rsid w:val="00F4339B"/>
    <w:rsid w:val="00F44387"/>
    <w:rsid w:val="00F47B0F"/>
    <w:rsid w:val="00F57747"/>
    <w:rsid w:val="00F729B6"/>
    <w:rsid w:val="00F858D9"/>
    <w:rsid w:val="00F92DF4"/>
    <w:rsid w:val="00FB487C"/>
    <w:rsid w:val="00FC0BE3"/>
    <w:rsid w:val="00FC288D"/>
    <w:rsid w:val="0B5532C8"/>
    <w:rsid w:val="0C712CDF"/>
    <w:rsid w:val="0D295D80"/>
    <w:rsid w:val="0E0302E5"/>
    <w:rsid w:val="0E641029"/>
    <w:rsid w:val="0ED10695"/>
    <w:rsid w:val="12A625AE"/>
    <w:rsid w:val="19D14EA8"/>
    <w:rsid w:val="1B736B9E"/>
    <w:rsid w:val="1CC2279D"/>
    <w:rsid w:val="1E8479F3"/>
    <w:rsid w:val="238916A0"/>
    <w:rsid w:val="27F70808"/>
    <w:rsid w:val="28342655"/>
    <w:rsid w:val="37B849F2"/>
    <w:rsid w:val="394967BA"/>
    <w:rsid w:val="39DB6B4B"/>
    <w:rsid w:val="3B3B2594"/>
    <w:rsid w:val="3B5C38D1"/>
    <w:rsid w:val="412E5886"/>
    <w:rsid w:val="42B8436F"/>
    <w:rsid w:val="473B252E"/>
    <w:rsid w:val="4FA352F7"/>
    <w:rsid w:val="538241C3"/>
    <w:rsid w:val="54412E27"/>
    <w:rsid w:val="554657A9"/>
    <w:rsid w:val="5C622B3A"/>
    <w:rsid w:val="5D7030D1"/>
    <w:rsid w:val="5DE800BA"/>
    <w:rsid w:val="5F473769"/>
    <w:rsid w:val="610C7B19"/>
    <w:rsid w:val="63733095"/>
    <w:rsid w:val="64F4297D"/>
    <w:rsid w:val="68511D03"/>
    <w:rsid w:val="6AF62864"/>
    <w:rsid w:val="6C1221B4"/>
    <w:rsid w:val="6FAD715C"/>
    <w:rsid w:val="71235C1C"/>
    <w:rsid w:val="763A07A8"/>
    <w:rsid w:val="7E2F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5">
    <w:name w:val="Normal Indent"/>
    <w:basedOn w:val="1"/>
    <w:qFormat/>
    <w:uiPriority w:val="0"/>
    <w:pPr>
      <w:ind w:firstLine="420"/>
    </w:pPr>
    <w:rPr>
      <w:szCs w:val="20"/>
    </w:rPr>
  </w:style>
  <w:style w:type="paragraph" w:styleId="6">
    <w:name w:val="annotation text"/>
    <w:basedOn w:val="1"/>
    <w:link w:val="39"/>
    <w:unhideWhenUsed/>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0"/>
    <w:qFormat/>
    <w:uiPriority w:val="99"/>
    <w:pPr>
      <w:ind w:firstLine="420" w:firstLineChars="200"/>
    </w:pPr>
    <w:rPr>
      <w:rFonts w:ascii="Arial" w:hAnsi="Arial"/>
      <w:sz w:val="22"/>
      <w:lang w:eastAsia="en-US"/>
    </w:rPr>
  </w:style>
  <w:style w:type="paragraph" w:styleId="10">
    <w:name w:val="Body Text First Indent"/>
    <w:basedOn w:val="7"/>
    <w:qFormat/>
    <w:uiPriority w:val="99"/>
    <w:pPr>
      <w:ind w:firstLine="420" w:firstLineChars="100"/>
    </w:pPr>
    <w:rPr>
      <w:rFonts w:eastAsia="仿宋_GB2312"/>
      <w:sz w:val="32"/>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alloon Text"/>
    <w:basedOn w:val="1"/>
    <w:link w:val="33"/>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b/>
      <w:bCs/>
      <w:caps/>
    </w:rPr>
  </w:style>
  <w:style w:type="paragraph" w:styleId="16">
    <w:name w:val="Message Header"/>
    <w:basedOn w:val="1"/>
    <w:next w:val="1"/>
    <w:link w:val="40"/>
    <w:qFormat/>
    <w:uiPriority w:val="0"/>
    <w:pPr>
      <w:ind w:left="500" w:leftChars="500" w:hanging="1080" w:hangingChars="500"/>
    </w:pPr>
    <w:rPr>
      <w:rFonts w:ascii="Arial" w:hAnsi="Arial"/>
      <w:sz w:val="24"/>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character" w:styleId="20">
    <w:name w:val="Strong"/>
    <w:basedOn w:val="19"/>
    <w:qFormat/>
    <w:uiPriority w:val="0"/>
    <w:rPr>
      <w:b/>
    </w:rPr>
  </w:style>
  <w:style w:type="character" w:styleId="21">
    <w:name w:val="Hyperlink"/>
    <w:basedOn w:val="19"/>
    <w:qFormat/>
    <w:uiPriority w:val="0"/>
    <w:rPr>
      <w:color w:val="0563C1" w:themeColor="hyperlink"/>
      <w:u w:val="single"/>
    </w:rPr>
  </w:style>
  <w:style w:type="character" w:styleId="22">
    <w:name w:val="annotation reference"/>
    <w:basedOn w:val="19"/>
    <w:semiHidden/>
    <w:unhideWhenUsed/>
    <w:qFormat/>
    <w:uiPriority w:val="0"/>
    <w:rPr>
      <w:sz w:val="21"/>
      <w:szCs w:val="21"/>
    </w:rPr>
  </w:style>
  <w:style w:type="paragraph" w:customStyle="1" w:styleId="2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 w:type="paragraph" w:customStyle="1" w:styleId="25">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6">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9">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30">
    <w:name w:val="NormalCharacter"/>
    <w:qFormat/>
    <w:uiPriority w:val="0"/>
  </w:style>
  <w:style w:type="character" w:customStyle="1" w:styleId="31">
    <w:name w:val="fontstyle01"/>
    <w:basedOn w:val="19"/>
    <w:qFormat/>
    <w:uiPriority w:val="0"/>
    <w:rPr>
      <w:rFonts w:hint="default" w:ascii="TimesNewRoman" w:hAnsi="TimesNewRoman"/>
      <w:color w:val="000000"/>
      <w:sz w:val="22"/>
      <w:szCs w:val="22"/>
    </w:rPr>
  </w:style>
  <w:style w:type="character" w:customStyle="1" w:styleId="32">
    <w:name w:val="标题 1 Char"/>
    <w:basedOn w:val="19"/>
    <w:qFormat/>
    <w:uiPriority w:val="0"/>
    <w:rPr>
      <w:rFonts w:ascii="Times New Roman" w:hAnsi="Times New Roman" w:eastAsia="宋体" w:cs="Times New Roman"/>
      <w:b/>
      <w:bCs/>
      <w:kern w:val="44"/>
      <w:sz w:val="44"/>
      <w:szCs w:val="44"/>
    </w:rPr>
  </w:style>
  <w:style w:type="character" w:customStyle="1" w:styleId="33">
    <w:name w:val="批注框文本 字符"/>
    <w:basedOn w:val="19"/>
    <w:link w:val="12"/>
    <w:qFormat/>
    <w:uiPriority w:val="0"/>
    <w:rPr>
      <w:rFonts w:ascii="Times New Roman" w:hAnsi="Times New Roman" w:eastAsia="宋体" w:cs="Times New Roman"/>
      <w:kern w:val="2"/>
      <w:sz w:val="18"/>
      <w:szCs w:val="18"/>
    </w:rPr>
  </w:style>
  <w:style w:type="paragraph" w:customStyle="1" w:styleId="34">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6">
    <w:name w:val="页眉字符1"/>
    <w:basedOn w:val="19"/>
    <w:qFormat/>
    <w:uiPriority w:val="0"/>
    <w:rPr>
      <w:kern w:val="2"/>
      <w:sz w:val="18"/>
      <w:szCs w:val="18"/>
    </w:rPr>
  </w:style>
  <w:style w:type="character" w:customStyle="1" w:styleId="37">
    <w:name w:val="标题 1 字符"/>
    <w:link w:val="3"/>
    <w:qFormat/>
    <w:uiPriority w:val="0"/>
    <w:rPr>
      <w:rFonts w:eastAsia="宋体"/>
      <w:b/>
      <w:kern w:val="44"/>
      <w:sz w:val="32"/>
    </w:rPr>
  </w:style>
  <w:style w:type="paragraph" w:customStyle="1" w:styleId="38">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character" w:customStyle="1" w:styleId="39">
    <w:name w:val="批注文字 字符"/>
    <w:basedOn w:val="19"/>
    <w:link w:val="6"/>
    <w:qFormat/>
    <w:uiPriority w:val="0"/>
    <w:rPr>
      <w:kern w:val="2"/>
      <w:sz w:val="21"/>
      <w:szCs w:val="24"/>
    </w:rPr>
  </w:style>
  <w:style w:type="character" w:customStyle="1" w:styleId="40">
    <w:name w:val="信息标题 字符"/>
    <w:basedOn w:val="19"/>
    <w:link w:val="16"/>
    <w:qFormat/>
    <w:uiPriority w:val="0"/>
    <w:rPr>
      <w:rFonts w:ascii="Arial" w:hAnsi="Arial"/>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衢州学院</Company>
  <Pages>37</Pages>
  <Words>15659</Words>
  <Characters>16633</Characters>
  <Lines>135</Lines>
  <Paragraphs>38</Paragraphs>
  <TotalTime>2</TotalTime>
  <ScaleCrop>false</ScaleCrop>
  <LinksUpToDate>false</LinksUpToDate>
  <CharactersWithSpaces>17985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2022-05-19T08:08:00Z</dcterms:created>
  <dc:creator>Administrator</dc:creator>
  <cp:lastModifiedBy>Administrator</cp:lastModifiedBy>
  <dcterms:modified xsi:type="dcterms:W3CDTF">2022-09-19T03:34:46Z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