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超硬材料工程实验室配套系统</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（机械工程学院）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6</w:t>
      </w:r>
      <w:r>
        <w:rPr>
          <w:b/>
          <w:bCs/>
          <w:color w:val="000000"/>
          <w:sz w:val="32"/>
        </w:rPr>
        <w:t>月</w:t>
      </w:r>
    </w:p>
    <w:p>
      <w:pPr>
        <w:pStyle w:val="7"/>
        <w:spacing w:line="360" w:lineRule="auto"/>
        <w:ind w:left="210" w:leftChars="100"/>
        <w:jc w:val="center"/>
        <w:rPr>
          <w:rFonts w:ascii="Times New Roman" w:eastAsia="宋体"/>
          <w:color w:val="000000"/>
        </w:rPr>
      </w:pPr>
    </w:p>
    <w:p>
      <w:pPr>
        <w:pStyle w:val="7"/>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bCs/>
          <w:color w:val="000000"/>
          <w:sz w:val="32"/>
        </w:rPr>
      </w:pPr>
      <w:r>
        <w:rPr>
          <w:bCs/>
          <w:color w:val="000000"/>
          <w:sz w:val="32"/>
        </w:rPr>
        <w:t>第四章  合同主要条款</w:t>
      </w:r>
      <w:r>
        <w:rPr>
          <w:color w:val="000000"/>
          <w:sz w:val="32"/>
        </w:rPr>
        <w:t>……………………………………2</w:t>
      </w:r>
      <w:r>
        <w:rPr>
          <w:rFonts w:hint="eastAsia"/>
          <w:color w:val="000000"/>
          <w:sz w:val="32"/>
        </w:rPr>
        <w:t>1</w:t>
      </w:r>
    </w:p>
    <w:p>
      <w:pPr>
        <w:rPr>
          <w:bCs/>
          <w:color w:val="000000"/>
          <w:sz w:val="32"/>
        </w:rPr>
      </w:pPr>
    </w:p>
    <w:p>
      <w:pPr>
        <w:rPr>
          <w:bCs/>
          <w:color w:val="000000"/>
          <w:sz w:val="32"/>
        </w:rPr>
      </w:pPr>
      <w:r>
        <w:rPr>
          <w:bCs/>
          <w:color w:val="000000"/>
          <w:sz w:val="32"/>
        </w:rPr>
        <w:t>第五章  评标办法及开标程序</w:t>
      </w:r>
      <w:r>
        <w:rPr>
          <w:color w:val="000000"/>
          <w:sz w:val="32"/>
        </w:rPr>
        <w:t>……………………………2</w:t>
      </w:r>
      <w:r>
        <w:rPr>
          <w:rFonts w:hint="eastAsia"/>
          <w:color w:val="000000"/>
          <w:sz w:val="32"/>
        </w:rPr>
        <w:t>5</w:t>
      </w:r>
    </w:p>
    <w:p>
      <w:pPr>
        <w:rPr>
          <w:bCs/>
          <w:color w:val="000000"/>
          <w:sz w:val="32"/>
        </w:rPr>
      </w:pPr>
    </w:p>
    <w:p>
      <w:pPr>
        <w:rPr>
          <w:color w:val="000000"/>
          <w:sz w:val="28"/>
        </w:rPr>
      </w:pPr>
      <w:r>
        <w:rPr>
          <w:bCs/>
          <w:color w:val="000000"/>
          <w:sz w:val="32"/>
        </w:rPr>
        <w:t>第六章  应提交的有关材料格式范例</w:t>
      </w:r>
      <w:r>
        <w:rPr>
          <w:color w:val="000000"/>
          <w:sz w:val="32"/>
        </w:rPr>
        <w:t>……………………28</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超硬材料工程实验室配套系统</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目编号：衢院招2022-06</w:t>
      </w:r>
      <w:r>
        <w:rPr>
          <w:rFonts w:hint="eastAsia" w:ascii="宋体" w:hAnsi="宋体" w:cs="宋体"/>
          <w:b/>
          <w:color w:val="000000"/>
          <w:sz w:val="24"/>
          <w:lang w:val="en-US" w:eastAsia="zh-CN"/>
        </w:rPr>
        <w:t>(第二次)</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二、项目名称：超硬材料工程实验室配套系统</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1"/>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超硬材料工程实验室配套系统</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highlight w:val="red"/>
              </w:rPr>
            </w:pPr>
            <w:r>
              <w:rPr>
                <w:rFonts w:hint="eastAsia" w:ascii="宋体" w:hAnsi="宋体" w:cs="宋体"/>
                <w:color w:val="000000"/>
                <w:kern w:val="0"/>
                <w:sz w:val="24"/>
              </w:rPr>
              <w:t>4</w:t>
            </w:r>
            <w:r>
              <w:rPr>
                <w:rFonts w:ascii="宋体" w:hAnsi="宋体" w:cs="宋体"/>
                <w:color w:val="000000"/>
                <w:kern w:val="0"/>
                <w:sz w:val="24"/>
              </w:rPr>
              <w:t>9.5</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w:t>
      </w:r>
      <w:r>
        <w:rPr>
          <w:rFonts w:hint="eastAsia" w:cs="宋体"/>
          <w:color w:val="000000"/>
          <w:kern w:val="0"/>
          <w:sz w:val="24"/>
          <w:szCs w:val="24"/>
          <w:lang w:val="en-US" w:eastAsia="zh-CN" w:bidi="ar-SA"/>
        </w:rPr>
        <w:t>无</w:t>
      </w:r>
      <w:r>
        <w:rPr>
          <w:rFonts w:hint="eastAsia"/>
          <w:sz w:val="24"/>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3.本项目的特定资格要求：无</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sz w:val="24"/>
        </w:rPr>
      </w:pPr>
      <w:r>
        <w:rPr>
          <w:rFonts w:hint="eastAsia"/>
          <w:sz w:val="24"/>
        </w:rPr>
        <w:t>1.时间：/至2022年</w:t>
      </w:r>
      <w:r>
        <w:rPr>
          <w:rFonts w:hint="eastAsia"/>
          <w:sz w:val="24"/>
          <w:lang w:val="en-US" w:eastAsia="zh-CN"/>
        </w:rPr>
        <w:t>6</w:t>
      </w:r>
      <w:r>
        <w:rPr>
          <w:rFonts w:hint="eastAsia"/>
          <w:sz w:val="24"/>
        </w:rPr>
        <w:t>月</w:t>
      </w:r>
      <w:r>
        <w:rPr>
          <w:rFonts w:hint="eastAsia"/>
          <w:sz w:val="24"/>
          <w:lang w:val="en-US" w:eastAsia="zh-CN"/>
        </w:rPr>
        <w:t>27</w:t>
      </w:r>
      <w:r>
        <w:rPr>
          <w:rFonts w:hint="eastAsia"/>
          <w:sz w:val="24"/>
        </w:rPr>
        <w:t>日，每天上午00:00至12:00，下午12:00至23:59（北京时间，线上获取法定节假日均可，线下获取文件法定节假日除外）</w:t>
      </w:r>
    </w:p>
    <w:p>
      <w:pPr>
        <w:tabs>
          <w:tab w:val="left" w:pos="2366"/>
        </w:tabs>
        <w:spacing w:line="360" w:lineRule="auto"/>
        <w:ind w:firstLine="480" w:firstLineChars="200"/>
        <w:rPr>
          <w:sz w:val="24"/>
        </w:rPr>
      </w:pPr>
      <w:r>
        <w:rPr>
          <w:rFonts w:hint="eastAsia"/>
          <w:sz w:val="24"/>
        </w:rPr>
        <w:t>2.地点（网址）：政采云平台https://www.zcygov.cn/ </w:t>
      </w:r>
    </w:p>
    <w:p>
      <w:pPr>
        <w:tabs>
          <w:tab w:val="left" w:pos="2366"/>
        </w:tabs>
        <w:spacing w:line="360" w:lineRule="auto"/>
        <w:ind w:firstLine="480" w:firstLineChars="200"/>
        <w:rPr>
          <w:sz w:val="24"/>
        </w:rPr>
      </w:pPr>
      <w:r>
        <w:rPr>
          <w:rFonts w:hint="eastAsia"/>
          <w:sz w:val="24"/>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sz w:val="24"/>
        </w:rPr>
      </w:pPr>
      <w:r>
        <w:rPr>
          <w:rFonts w:hint="eastAsia"/>
          <w:sz w:val="24"/>
        </w:rPr>
        <w:t> 4.售价（元）：0 </w:t>
      </w:r>
    </w:p>
    <w:p>
      <w:pPr>
        <w:pStyle w:val="10"/>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4"/>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0"/>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6</w:t>
      </w:r>
      <w:r>
        <w:rPr>
          <w:rFonts w:hint="eastAsia" w:cs="宋体"/>
          <w:b/>
          <w:bCs/>
          <w:kern w:val="2"/>
        </w:rPr>
        <w:t>月</w:t>
      </w:r>
      <w:r>
        <w:rPr>
          <w:rFonts w:hint="eastAsia" w:cs="宋体"/>
          <w:b/>
          <w:bCs/>
          <w:kern w:val="2"/>
          <w:lang w:val="en-US" w:eastAsia="zh-CN"/>
        </w:rPr>
        <w:t>27</w:t>
      </w:r>
      <w:r>
        <w:rPr>
          <w:rFonts w:hint="eastAsia" w:cs="宋体"/>
          <w:b/>
          <w:bCs/>
          <w:kern w:val="2"/>
        </w:rPr>
        <w:t>日</w:t>
      </w:r>
      <w:r>
        <w:rPr>
          <w:rFonts w:hint="eastAsia" w:cs="宋体"/>
          <w:b/>
          <w:bCs/>
          <w:kern w:val="2"/>
          <w:lang w:val="en-US" w:eastAsia="zh-CN"/>
        </w:rPr>
        <w:t>14</w:t>
      </w:r>
      <w:r>
        <w:rPr>
          <w:rFonts w:hint="eastAsia" w:cs="宋体"/>
          <w:b/>
          <w:bCs/>
          <w:kern w:val="2"/>
        </w:rPr>
        <w:t>:</w:t>
      </w:r>
      <w:r>
        <w:rPr>
          <w:rFonts w:hint="eastAsia" w:cs="宋体"/>
          <w:b/>
          <w:bCs/>
          <w:kern w:val="2"/>
          <w:lang w:val="en-US" w:eastAsia="zh-CN"/>
        </w:rPr>
        <w:t>3</w:t>
      </w:r>
      <w:r>
        <w:rPr>
          <w:rFonts w:hint="eastAsia" w:cs="宋体"/>
          <w:b/>
          <w:bCs/>
          <w:kern w:val="2"/>
        </w:rPr>
        <w:t>0时（北京时间）</w:t>
      </w:r>
    </w:p>
    <w:p>
      <w:pPr>
        <w:pStyle w:val="6"/>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0"/>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十三、本招标文件由衢州学院采购中心、机械工程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项目技术答疑联系人：朱老师，王老师；电话：18806701663；18268975632。</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6"/>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6"/>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6"/>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6"/>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6"/>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1"/>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1"/>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1"/>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6"/>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3"/>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 xml:space="preserve"> </w:t>
      </w:r>
      <w:r>
        <w:rPr>
          <w:rFonts w:hint="eastAsia" w:ascii="宋体" w:hAnsi="宋体" w:cs="宋体"/>
          <w:sz w:val="24"/>
        </w:rPr>
        <w:t>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FF0000"/>
          <w:sz w:val="24"/>
        </w:rPr>
      </w:pPr>
      <w:r>
        <w:rPr>
          <w:rFonts w:hint="eastAsia" w:ascii="宋体" w:hAnsi="宋体" w:cs="宋体"/>
          <w:b/>
          <w:bCs/>
          <w:color w:val="FF0000"/>
          <w:sz w:val="24"/>
        </w:rPr>
        <w:t>1.中标供应商于中标结果（成交）公告结束后5个工作日内</w:t>
      </w:r>
      <w:r>
        <w:rPr>
          <w:rFonts w:hint="eastAsia" w:ascii="宋体" w:hAnsi="宋体" w:cs="宋体"/>
          <w:b/>
          <w:color w:val="FF0000"/>
          <w:sz w:val="24"/>
        </w:rPr>
        <w:t>向采购人缴纳履约保证金，履约保证金为中标金额的2.5%。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ascii="宋体" w:hAnsi="宋体" w:cs="宋体"/>
          <w:b/>
          <w:bCs/>
          <w:color w:val="FF0000"/>
          <w:kern w:val="0"/>
          <w:sz w:val="24"/>
        </w:rPr>
        <w:t>60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w:t>
      </w:r>
      <w:r>
        <w:rPr>
          <w:rFonts w:ascii="宋体" w:hAnsi="宋体" w:cs="宋体"/>
          <w:b/>
          <w:bCs/>
          <w:color w:val="FF0000"/>
          <w:kern w:val="0"/>
          <w:sz w:val="24"/>
        </w:rPr>
        <w:t>1</w:t>
      </w:r>
      <w:r>
        <w:rPr>
          <w:rFonts w:hint="eastAsia" w:ascii="宋体" w:hAnsi="宋体" w:cs="宋体"/>
          <w:b/>
          <w:bCs/>
          <w:color w:val="FF0000"/>
          <w:kern w:val="0"/>
          <w:sz w:val="24"/>
        </w:rPr>
        <w:t>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项目技术答疑联系人：朱老师，王老师；电话：18806701663，18268975632。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1"/>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9"/>
        <w:gridCol w:w="1487"/>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48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0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48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超硬材料工程实验室配套系统</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0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1"/>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p>
        </w:tc>
        <w:tc>
          <w:tcPr>
            <w:tcW w:w="5103" w:type="dxa"/>
          </w:tcPr>
          <w:p>
            <w:pPr>
              <w:spacing w:line="360" w:lineRule="auto"/>
              <w:jc w:val="center"/>
              <w:rPr>
                <w:rFonts w:ascii="宋体" w:hAnsi="宋体" w:cs="宋体"/>
                <w:bCs/>
                <w:color w:val="000000"/>
                <w:kern w:val="0"/>
                <w:szCs w:val="21"/>
              </w:rPr>
            </w:pPr>
            <w:r>
              <w:rPr>
                <w:rFonts w:hint="eastAsia"/>
              </w:rPr>
              <w:t>高真空电阻加热定向凝固系统</w:t>
            </w:r>
          </w:p>
        </w:tc>
        <w:tc>
          <w:tcPr>
            <w:tcW w:w="851" w:type="dxa"/>
          </w:tcPr>
          <w:p>
            <w:pPr>
              <w:spacing w:line="360" w:lineRule="auto"/>
              <w:jc w:val="center"/>
              <w:rPr>
                <w:rFonts w:ascii="宋体" w:hAnsi="宋体" w:cs="宋体"/>
                <w:bCs/>
                <w:color w:val="000000"/>
                <w:kern w:val="0"/>
                <w:szCs w:val="21"/>
              </w:rPr>
            </w:pPr>
            <w:r>
              <w:rPr>
                <w:rFonts w:hint="eastAsia"/>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2</w:t>
            </w:r>
          </w:p>
        </w:tc>
        <w:tc>
          <w:tcPr>
            <w:tcW w:w="5103" w:type="dxa"/>
          </w:tcPr>
          <w:p>
            <w:pPr>
              <w:spacing w:line="360" w:lineRule="auto"/>
              <w:jc w:val="center"/>
              <w:rPr>
                <w:rFonts w:ascii="宋体" w:hAnsi="宋体" w:cs="宋体"/>
                <w:color w:val="000000"/>
                <w:szCs w:val="21"/>
              </w:rPr>
            </w:pPr>
            <w:r>
              <w:rPr>
                <w:rFonts w:hint="eastAsia"/>
              </w:rPr>
              <w:t>双喷电解减薄仪</w:t>
            </w:r>
          </w:p>
        </w:tc>
        <w:tc>
          <w:tcPr>
            <w:tcW w:w="851" w:type="dxa"/>
          </w:tcPr>
          <w:p>
            <w:pPr>
              <w:spacing w:line="360" w:lineRule="auto"/>
              <w:jc w:val="center"/>
              <w:rPr>
                <w:rFonts w:ascii="宋体" w:hAnsi="宋体" w:cs="宋体"/>
                <w:color w:val="000000"/>
                <w:szCs w:val="21"/>
              </w:rPr>
            </w:pPr>
            <w:r>
              <w:rPr>
                <w:rFonts w:hint="eastAsia"/>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p>
      <w:pPr>
        <w:pStyle w:val="2"/>
        <w:ind w:left="2250" w:hanging="1200"/>
      </w:pPr>
    </w:p>
    <w:tbl>
      <w:tblPr>
        <w:tblStyle w:val="11"/>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35"/>
        <w:gridCol w:w="5260"/>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Align w:val="center"/>
          </w:tcPr>
          <w:p>
            <w:pPr>
              <w:spacing w:line="360" w:lineRule="auto"/>
              <w:jc w:val="center"/>
              <w:rPr>
                <w:b/>
                <w:color w:val="000000"/>
                <w:szCs w:val="21"/>
              </w:rPr>
            </w:pPr>
            <w:r>
              <w:rPr>
                <w:b/>
                <w:bCs/>
                <w:color w:val="000000"/>
                <w:szCs w:val="21"/>
              </w:rPr>
              <w:t>序号</w:t>
            </w:r>
          </w:p>
        </w:tc>
        <w:tc>
          <w:tcPr>
            <w:tcW w:w="835" w:type="dxa"/>
            <w:vAlign w:val="center"/>
          </w:tcPr>
          <w:p>
            <w:pPr>
              <w:spacing w:line="360" w:lineRule="auto"/>
              <w:jc w:val="center"/>
              <w:rPr>
                <w:b/>
                <w:bCs/>
                <w:color w:val="000000"/>
                <w:szCs w:val="21"/>
              </w:rPr>
            </w:pPr>
            <w:r>
              <w:rPr>
                <w:b/>
                <w:bCs/>
                <w:color w:val="000000"/>
                <w:szCs w:val="21"/>
              </w:rPr>
              <w:t>名称</w:t>
            </w:r>
          </w:p>
        </w:tc>
        <w:tc>
          <w:tcPr>
            <w:tcW w:w="5260" w:type="dxa"/>
            <w:vAlign w:val="center"/>
          </w:tcPr>
          <w:p>
            <w:pPr>
              <w:spacing w:line="360" w:lineRule="auto"/>
              <w:jc w:val="center"/>
              <w:rPr>
                <w:b/>
                <w:bCs/>
                <w:color w:val="000000"/>
                <w:szCs w:val="21"/>
              </w:rPr>
            </w:pPr>
            <w:r>
              <w:rPr>
                <w:b/>
                <w:bCs/>
                <w:color w:val="000000"/>
                <w:szCs w:val="21"/>
              </w:rPr>
              <w:t>规格型号或技术参数</w:t>
            </w:r>
          </w:p>
        </w:tc>
        <w:tc>
          <w:tcPr>
            <w:tcW w:w="1341" w:type="dxa"/>
            <w:vAlign w:val="center"/>
          </w:tcPr>
          <w:p>
            <w:pPr>
              <w:spacing w:line="360" w:lineRule="auto"/>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1</w:t>
            </w:r>
          </w:p>
        </w:tc>
        <w:tc>
          <w:tcPr>
            <w:tcW w:w="835" w:type="dxa"/>
            <w:shd w:val="clear" w:color="auto" w:fill="FFFFFF"/>
            <w:vAlign w:val="center"/>
          </w:tcPr>
          <w:p>
            <w:pPr>
              <w:spacing w:line="360" w:lineRule="auto"/>
              <w:jc w:val="left"/>
              <w:rPr>
                <w:color w:val="000000"/>
                <w:szCs w:val="21"/>
                <w:lang w:val="zh-CN"/>
              </w:rPr>
            </w:pPr>
            <w:r>
              <w:rPr>
                <w:rFonts w:hint="eastAsia"/>
                <w:bCs/>
                <w:color w:val="000000"/>
                <w:szCs w:val="21"/>
              </w:rPr>
              <w:t>高真空电阻加热定向凝固系统</w:t>
            </w:r>
          </w:p>
        </w:tc>
        <w:tc>
          <w:tcPr>
            <w:tcW w:w="52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pPr>
            <w:r>
              <w:rPr>
                <w:rFonts w:hint="eastAsia"/>
              </w:rPr>
              <w:t>▲</w:t>
            </w:r>
            <w:r>
              <w:t>1．极限真空度：3×10</w:t>
            </w:r>
            <w:r>
              <w:rPr>
                <w:vertAlign w:val="superscript"/>
              </w:rPr>
              <w:t>-3</w:t>
            </w:r>
            <w:r>
              <w:t>Pa（冷态）；漏率&lt;1×10-9Pa.L/s；</w:t>
            </w:r>
          </w:p>
          <w:p>
            <w:pPr>
              <w:keepNext w:val="0"/>
              <w:keepLines w:val="0"/>
              <w:pageBreakBefore w:val="0"/>
              <w:widowControl w:val="0"/>
              <w:kinsoku/>
              <w:wordWrap/>
              <w:overflowPunct/>
              <w:topLinePunct w:val="0"/>
              <w:autoSpaceDE/>
              <w:autoSpaceDN/>
              <w:bidi w:val="0"/>
              <w:adjustRightInd/>
              <w:snapToGrid/>
              <w:spacing w:line="300" w:lineRule="auto"/>
              <w:textAlignment w:val="auto"/>
            </w:pPr>
            <w:r>
              <w:t>2．真空室：立式，炉盖电动提升双层水冷结构；</w:t>
            </w:r>
          </w:p>
          <w:p>
            <w:pPr>
              <w:keepNext w:val="0"/>
              <w:keepLines w:val="0"/>
              <w:pageBreakBefore w:val="0"/>
              <w:widowControl w:val="0"/>
              <w:kinsoku/>
              <w:wordWrap/>
              <w:overflowPunct/>
              <w:topLinePunct w:val="0"/>
              <w:autoSpaceDE/>
              <w:autoSpaceDN/>
              <w:bidi w:val="0"/>
              <w:adjustRightInd/>
              <w:snapToGrid/>
              <w:spacing w:line="300" w:lineRule="auto"/>
              <w:textAlignment w:val="auto"/>
            </w:pPr>
            <w:r>
              <w:rPr>
                <w:rFonts w:hint="eastAsia"/>
              </w:rPr>
              <w:t>▲</w:t>
            </w:r>
            <w:r>
              <w:t>3．电阻加热</w:t>
            </w:r>
            <w:r>
              <w:rPr>
                <w:rFonts w:hint="eastAsia"/>
              </w:rPr>
              <w:t>最大</w:t>
            </w:r>
            <w:r>
              <w:t xml:space="preserve">温度2200度，1700度以下采用钨铼热偶测温； </w:t>
            </w:r>
          </w:p>
          <w:p>
            <w:pPr>
              <w:keepNext w:val="0"/>
              <w:keepLines w:val="0"/>
              <w:pageBreakBefore w:val="0"/>
              <w:widowControl w:val="0"/>
              <w:kinsoku/>
              <w:wordWrap/>
              <w:overflowPunct/>
              <w:topLinePunct w:val="0"/>
              <w:autoSpaceDE/>
              <w:autoSpaceDN/>
              <w:bidi w:val="0"/>
              <w:adjustRightInd/>
              <w:snapToGrid/>
              <w:spacing w:line="300" w:lineRule="auto"/>
              <w:textAlignment w:val="auto"/>
            </w:pPr>
            <w:r>
              <w:t>4．1700度以上热偶退出（手动），采用红外测温仪测温；</w:t>
            </w:r>
          </w:p>
          <w:p>
            <w:pPr>
              <w:keepNext w:val="0"/>
              <w:keepLines w:val="0"/>
              <w:pageBreakBefore w:val="0"/>
              <w:widowControl w:val="0"/>
              <w:kinsoku/>
              <w:wordWrap/>
              <w:overflowPunct/>
              <w:topLinePunct w:val="0"/>
              <w:autoSpaceDE/>
              <w:autoSpaceDN/>
              <w:bidi w:val="0"/>
              <w:adjustRightInd/>
              <w:snapToGrid/>
              <w:spacing w:line="300" w:lineRule="auto"/>
              <w:textAlignment w:val="auto"/>
            </w:pPr>
            <w:r>
              <w:t>5．红外测温窗口前设有手动挡板，热偶及红外测温机构均设置在真空室侧壁上；</w:t>
            </w:r>
          </w:p>
          <w:p>
            <w:pPr>
              <w:keepNext w:val="0"/>
              <w:keepLines w:val="0"/>
              <w:pageBreakBefore w:val="0"/>
              <w:widowControl w:val="0"/>
              <w:kinsoku/>
              <w:wordWrap/>
              <w:overflowPunct/>
              <w:topLinePunct w:val="0"/>
              <w:autoSpaceDE/>
              <w:autoSpaceDN/>
              <w:bidi w:val="0"/>
              <w:adjustRightInd/>
              <w:snapToGrid/>
              <w:spacing w:line="300" w:lineRule="auto"/>
              <w:textAlignment w:val="auto"/>
            </w:pPr>
            <w:r>
              <w:rPr>
                <w:rFonts w:hint="eastAsia"/>
              </w:rPr>
              <w:t>▲</w:t>
            </w:r>
            <w:r>
              <w:t>6．加热电源采用低压大电流，大石墨加热体内径60mm，高度260mm，功率30KW；</w:t>
            </w:r>
          </w:p>
          <w:p>
            <w:pPr>
              <w:keepNext w:val="0"/>
              <w:keepLines w:val="0"/>
              <w:pageBreakBefore w:val="0"/>
              <w:widowControl w:val="0"/>
              <w:kinsoku/>
              <w:wordWrap/>
              <w:overflowPunct/>
              <w:topLinePunct w:val="0"/>
              <w:autoSpaceDE/>
              <w:autoSpaceDN/>
              <w:bidi w:val="0"/>
              <w:adjustRightInd/>
              <w:snapToGrid/>
              <w:spacing w:line="300" w:lineRule="auto"/>
              <w:textAlignment w:val="auto"/>
            </w:pPr>
            <w:r>
              <w:rPr>
                <w:rFonts w:hint="eastAsia"/>
              </w:rPr>
              <w:t>▲</w:t>
            </w:r>
            <w:r>
              <w:t>7．下加热区高度40-60mm，石墨发热体，功率：6KW；</w:t>
            </w:r>
          </w:p>
          <w:p>
            <w:pPr>
              <w:keepNext w:val="0"/>
              <w:keepLines w:val="0"/>
              <w:pageBreakBefore w:val="0"/>
              <w:widowControl w:val="0"/>
              <w:kinsoku/>
              <w:wordWrap/>
              <w:overflowPunct/>
              <w:topLinePunct w:val="0"/>
              <w:autoSpaceDE/>
              <w:autoSpaceDN/>
              <w:bidi w:val="0"/>
              <w:adjustRightInd/>
              <w:snapToGrid/>
              <w:spacing w:line="300" w:lineRule="auto"/>
              <w:textAlignment w:val="auto"/>
            </w:pPr>
            <w:r>
              <w:t>8．PID控温电源三套（红外+热偶各一套，另一区一套 ）；</w:t>
            </w:r>
          </w:p>
          <w:p>
            <w:pPr>
              <w:keepNext w:val="0"/>
              <w:keepLines w:val="0"/>
              <w:pageBreakBefore w:val="0"/>
              <w:widowControl w:val="0"/>
              <w:kinsoku/>
              <w:wordWrap/>
              <w:overflowPunct/>
              <w:topLinePunct w:val="0"/>
              <w:autoSpaceDE/>
              <w:autoSpaceDN/>
              <w:bidi w:val="0"/>
              <w:adjustRightInd/>
              <w:snapToGrid/>
              <w:spacing w:line="300" w:lineRule="auto"/>
              <w:textAlignment w:val="auto"/>
            </w:pPr>
            <w:r>
              <w:t>9．模壳装取方式：电动升起炉盖并转开，拉伸轴升起，装样品；下降拉伸轴至工作位置，下降关闭炉盖，开始工作；</w:t>
            </w:r>
          </w:p>
          <w:p>
            <w:pPr>
              <w:keepNext w:val="0"/>
              <w:keepLines w:val="0"/>
              <w:pageBreakBefore w:val="0"/>
              <w:widowControl w:val="0"/>
              <w:kinsoku/>
              <w:wordWrap/>
              <w:overflowPunct/>
              <w:topLinePunct w:val="0"/>
              <w:autoSpaceDE/>
              <w:autoSpaceDN/>
              <w:bidi w:val="0"/>
              <w:adjustRightInd/>
              <w:snapToGrid/>
              <w:spacing w:line="300" w:lineRule="auto"/>
              <w:textAlignment w:val="auto"/>
            </w:pPr>
            <w:r>
              <w:t>10．模壳外形尺寸：直径20mm，长度200mm；用户自备；</w:t>
            </w:r>
          </w:p>
          <w:p>
            <w:pPr>
              <w:keepNext w:val="0"/>
              <w:keepLines w:val="0"/>
              <w:pageBreakBefore w:val="0"/>
              <w:widowControl w:val="0"/>
              <w:kinsoku/>
              <w:wordWrap/>
              <w:overflowPunct/>
              <w:topLinePunct w:val="0"/>
              <w:autoSpaceDE/>
              <w:autoSpaceDN/>
              <w:bidi w:val="0"/>
              <w:adjustRightInd/>
              <w:snapToGrid/>
              <w:spacing w:line="300" w:lineRule="auto"/>
              <w:textAlignment w:val="auto"/>
            </w:pPr>
            <w:r>
              <w:rPr>
                <w:rFonts w:hint="eastAsia"/>
              </w:rPr>
              <w:t>▲</w:t>
            </w:r>
            <w:r>
              <w:t>1</w:t>
            </w:r>
            <w:r>
              <w:rPr>
                <w:rFonts w:hint="eastAsia"/>
                <w:lang w:val="en-US" w:eastAsia="zh-CN"/>
              </w:rPr>
              <w:t>1.</w:t>
            </w:r>
            <w:r>
              <w:t>水冷抽拉杆运动速度范围：工作档：0.001</w:t>
            </w:r>
            <w:r>
              <w:rPr>
                <w:rFonts w:hint="eastAsia"/>
              </w:rPr>
              <w:t>m</w:t>
            </w:r>
            <w:r>
              <w:t>m~2mm/s ；运动速度可编程</w:t>
            </w:r>
            <w:r>
              <w:rPr>
                <w:rFonts w:hint="eastAsia"/>
              </w:rPr>
              <w:t>控制</w:t>
            </w:r>
            <w:r>
              <w:t>；</w:t>
            </w:r>
          </w:p>
          <w:p>
            <w:pPr>
              <w:keepNext w:val="0"/>
              <w:keepLines w:val="0"/>
              <w:pageBreakBefore w:val="0"/>
              <w:widowControl w:val="0"/>
              <w:kinsoku/>
              <w:wordWrap/>
              <w:overflowPunct/>
              <w:topLinePunct w:val="0"/>
              <w:autoSpaceDE/>
              <w:autoSpaceDN/>
              <w:bidi w:val="0"/>
              <w:adjustRightInd/>
              <w:snapToGrid/>
              <w:spacing w:line="300" w:lineRule="auto"/>
              <w:textAlignment w:val="auto"/>
            </w:pPr>
            <w:r>
              <w:t xml:space="preserve">12．触摸屏+PLC控制运动；数显位移计记录抽拉距离，位移显示分辨率：0.001mm ； </w:t>
            </w:r>
          </w:p>
          <w:p>
            <w:pPr>
              <w:keepNext w:val="0"/>
              <w:keepLines w:val="0"/>
              <w:pageBreakBefore w:val="0"/>
              <w:widowControl w:val="0"/>
              <w:kinsoku/>
              <w:wordWrap/>
              <w:overflowPunct/>
              <w:topLinePunct w:val="0"/>
              <w:autoSpaceDE/>
              <w:autoSpaceDN/>
              <w:bidi w:val="0"/>
              <w:adjustRightInd/>
              <w:snapToGrid/>
              <w:spacing w:line="300" w:lineRule="auto"/>
              <w:textAlignment w:val="auto"/>
            </w:pPr>
            <w:r>
              <w:t>13．具有气动快淬功能。快淬行程：60mm；快淬时夹头移动速度：＞100mm/s；</w:t>
            </w:r>
          </w:p>
          <w:p>
            <w:pPr>
              <w:keepNext w:val="0"/>
              <w:keepLines w:val="0"/>
              <w:pageBreakBefore w:val="0"/>
              <w:widowControl w:val="0"/>
              <w:kinsoku/>
              <w:wordWrap/>
              <w:overflowPunct/>
              <w:topLinePunct w:val="0"/>
              <w:autoSpaceDE/>
              <w:autoSpaceDN/>
              <w:bidi w:val="0"/>
              <w:adjustRightInd/>
              <w:snapToGrid/>
              <w:spacing w:line="300" w:lineRule="auto"/>
              <w:textAlignment w:val="auto"/>
            </w:pPr>
            <w:r>
              <w:t>14．水冷套及抽拉杆。抽拉杆直径为20mm；水冷套长度：290mm；</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宋体"/>
                <w:lang w:val="en-US" w:eastAsia="zh-CN"/>
              </w:rPr>
            </w:pPr>
            <w:r>
              <w:t>15．水冷套组件通过法兰安装在真空室下部的接口法兰上</w:t>
            </w:r>
            <w:r>
              <w:rPr>
                <w:rFonts w:hint="eastAsia"/>
                <w:lang w:eastAsia="zh-CN"/>
              </w:rPr>
              <w:t>。</w:t>
            </w:r>
          </w:p>
        </w:tc>
        <w:tc>
          <w:tcPr>
            <w:tcW w:w="1341" w:type="dxa"/>
            <w:shd w:val="clear" w:color="auto" w:fill="FFFFFF"/>
            <w:vAlign w:val="center"/>
          </w:tcPr>
          <w:p>
            <w:pPr>
              <w:spacing w:line="360" w:lineRule="auto"/>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7" w:hRule="atLeast"/>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2</w:t>
            </w:r>
          </w:p>
        </w:tc>
        <w:tc>
          <w:tcPr>
            <w:tcW w:w="835" w:type="dxa"/>
            <w:shd w:val="clear" w:color="auto" w:fill="FFFFFF"/>
            <w:vAlign w:val="center"/>
          </w:tcPr>
          <w:p>
            <w:pPr>
              <w:spacing w:line="360" w:lineRule="auto"/>
              <w:jc w:val="left"/>
              <w:rPr>
                <w:color w:val="000000"/>
                <w:szCs w:val="21"/>
                <w:lang w:val="zh-CN"/>
              </w:rPr>
            </w:pPr>
            <w:r>
              <w:rPr>
                <w:rFonts w:hint="eastAsia"/>
                <w:color w:val="000000"/>
                <w:szCs w:val="21"/>
              </w:rPr>
              <w:t>双喷电解减薄仪</w:t>
            </w:r>
          </w:p>
        </w:tc>
        <w:tc>
          <w:tcPr>
            <w:tcW w:w="5260" w:type="dxa"/>
            <w:shd w:val="clear" w:color="auto" w:fill="FFFFFF"/>
            <w:vAlign w:val="center"/>
          </w:tcPr>
          <w:p>
            <w:pPr>
              <w:spacing w:line="360" w:lineRule="auto"/>
              <w:rPr>
                <w:bCs/>
                <w:szCs w:val="21"/>
              </w:rPr>
            </w:pPr>
            <w:r>
              <w:rPr>
                <w:rFonts w:hint="eastAsia"/>
                <w:bCs/>
                <w:szCs w:val="21"/>
              </w:rPr>
              <w:t>1.额定电压： 220V，单相</w:t>
            </w:r>
          </w:p>
          <w:p>
            <w:pPr>
              <w:spacing w:line="360" w:lineRule="auto"/>
              <w:rPr>
                <w:bCs/>
                <w:szCs w:val="21"/>
              </w:rPr>
            </w:pPr>
            <w:r>
              <w:rPr>
                <w:rFonts w:hint="eastAsia"/>
                <w:bCs/>
                <w:szCs w:val="21"/>
              </w:rPr>
              <w:t>2.额定频率： 50Hz</w:t>
            </w:r>
          </w:p>
          <w:p>
            <w:pPr>
              <w:spacing w:line="360" w:lineRule="auto"/>
              <w:rPr>
                <w:bCs/>
                <w:szCs w:val="21"/>
              </w:rPr>
            </w:pPr>
            <w:r>
              <w:rPr>
                <w:rFonts w:hint="eastAsia"/>
                <w:bCs/>
                <w:szCs w:val="21"/>
              </w:rPr>
              <w:t>3.额定功率：≧500W</w:t>
            </w:r>
          </w:p>
          <w:p>
            <w:pPr>
              <w:spacing w:line="360" w:lineRule="auto"/>
              <w:rPr>
                <w:bCs/>
                <w:szCs w:val="21"/>
              </w:rPr>
            </w:pPr>
            <w:r>
              <w:rPr>
                <w:rFonts w:hint="eastAsia"/>
                <w:bCs/>
                <w:szCs w:val="21"/>
              </w:rPr>
              <w:t>4.制冷功率：≧250W</w:t>
            </w:r>
          </w:p>
          <w:p>
            <w:pPr>
              <w:spacing w:line="360" w:lineRule="auto"/>
              <w:rPr>
                <w:bCs/>
                <w:szCs w:val="21"/>
              </w:rPr>
            </w:pPr>
            <w:r>
              <w:rPr>
                <w:rFonts w:hint="eastAsia"/>
                <w:bCs/>
                <w:szCs w:val="21"/>
              </w:rPr>
              <w:t>5.制冷温度：≦-30℃</w:t>
            </w:r>
          </w:p>
          <w:p>
            <w:pPr>
              <w:spacing w:line="360" w:lineRule="auto"/>
              <w:rPr>
                <w:bCs/>
                <w:szCs w:val="21"/>
              </w:rPr>
            </w:pPr>
            <w:r>
              <w:rPr>
                <w:rFonts w:hint="eastAsia"/>
                <w:bCs/>
                <w:szCs w:val="21"/>
              </w:rPr>
              <w:t>▲6.冷却系统：半导体制冷</w:t>
            </w:r>
          </w:p>
          <w:p>
            <w:pPr>
              <w:spacing w:line="360" w:lineRule="auto"/>
              <w:rPr>
                <w:bCs/>
                <w:szCs w:val="21"/>
              </w:rPr>
            </w:pPr>
            <w:r>
              <w:rPr>
                <w:rFonts w:hint="eastAsia"/>
                <w:bCs/>
                <w:szCs w:val="21"/>
              </w:rPr>
              <w:t xml:space="preserve">7.电解电流：0-120mA </w:t>
            </w:r>
          </w:p>
          <w:p>
            <w:pPr>
              <w:spacing w:line="360" w:lineRule="auto"/>
              <w:rPr>
                <w:bCs/>
                <w:szCs w:val="21"/>
              </w:rPr>
            </w:pPr>
            <w:r>
              <w:rPr>
                <w:rFonts w:hint="eastAsia"/>
                <w:bCs/>
                <w:szCs w:val="21"/>
              </w:rPr>
              <w:t>8.电解电压：0-80V</w:t>
            </w:r>
          </w:p>
          <w:p>
            <w:pPr>
              <w:spacing w:line="360" w:lineRule="auto"/>
              <w:rPr>
                <w:bCs/>
                <w:szCs w:val="21"/>
              </w:rPr>
            </w:pPr>
            <w:r>
              <w:rPr>
                <w:rFonts w:hint="eastAsia"/>
                <w:bCs/>
                <w:szCs w:val="21"/>
              </w:rPr>
              <w:t>9.流速控制：调整磁力搅拌泵转速调整电解液的流速</w:t>
            </w:r>
          </w:p>
          <w:p>
            <w:pPr>
              <w:spacing w:line="360" w:lineRule="auto"/>
              <w:rPr>
                <w:bCs/>
                <w:szCs w:val="21"/>
              </w:rPr>
            </w:pPr>
            <w:r>
              <w:rPr>
                <w:rFonts w:hint="eastAsia"/>
                <w:bCs/>
                <w:szCs w:val="21"/>
              </w:rPr>
              <w:t>▲10.穿孔控制：通过软件进行自动穿孔</w:t>
            </w:r>
          </w:p>
          <w:p>
            <w:pPr>
              <w:spacing w:line="360" w:lineRule="auto"/>
              <w:rPr>
                <w:bCs/>
                <w:szCs w:val="21"/>
              </w:rPr>
            </w:pPr>
            <w:r>
              <w:rPr>
                <w:rFonts w:hint="eastAsia"/>
                <w:bCs/>
                <w:szCs w:val="21"/>
              </w:rPr>
              <w:t>▲11.穿孔监控：CCD图像采集监控穿孔过程</w:t>
            </w:r>
          </w:p>
          <w:p>
            <w:pPr>
              <w:spacing w:line="360" w:lineRule="auto"/>
              <w:rPr>
                <w:bCs/>
                <w:szCs w:val="21"/>
              </w:rPr>
            </w:pPr>
            <w:r>
              <w:rPr>
                <w:rFonts w:hint="eastAsia"/>
                <w:bCs/>
                <w:szCs w:val="21"/>
              </w:rPr>
              <w:t xml:space="preserve">12.照明开关：电解槽具备照明开关  </w:t>
            </w:r>
          </w:p>
          <w:p>
            <w:pPr>
              <w:spacing w:line="360" w:lineRule="auto"/>
              <w:rPr>
                <w:bCs/>
                <w:szCs w:val="21"/>
              </w:rPr>
            </w:pPr>
            <w:r>
              <w:rPr>
                <w:rFonts w:hint="eastAsia"/>
                <w:bCs/>
                <w:szCs w:val="21"/>
              </w:rPr>
              <w:t>13.软件控制：电解减薄过程通过软件控制。包括：左右位置调节、上下位置调节、大小横轴调节、大小纵轴调节</w:t>
            </w:r>
          </w:p>
          <w:p>
            <w:pPr>
              <w:spacing w:line="360" w:lineRule="auto"/>
              <w:rPr>
                <w:bCs/>
                <w:szCs w:val="21"/>
              </w:rPr>
            </w:pPr>
            <w:r>
              <w:rPr>
                <w:rFonts w:hint="eastAsia"/>
                <w:bCs/>
                <w:szCs w:val="21"/>
              </w:rPr>
              <w:t>14.电解液降温时间（30℃到-30℃）：≦</w:t>
            </w:r>
            <w:r>
              <w:rPr>
                <w:bCs/>
                <w:szCs w:val="21"/>
              </w:rPr>
              <w:t>20</w:t>
            </w:r>
            <w:r>
              <w:rPr>
                <w:rFonts w:hint="eastAsia"/>
                <w:bCs/>
                <w:szCs w:val="21"/>
              </w:rPr>
              <w:t>分钟</w:t>
            </w:r>
          </w:p>
          <w:p>
            <w:pPr>
              <w:spacing w:line="360" w:lineRule="auto"/>
              <w:rPr>
                <w:bCs/>
                <w:szCs w:val="21"/>
              </w:rPr>
            </w:pPr>
            <w:r>
              <w:rPr>
                <w:rFonts w:hint="eastAsia"/>
                <w:bCs/>
                <w:szCs w:val="21"/>
              </w:rPr>
              <w:t>15.双喷时间：≦</w:t>
            </w:r>
            <w:r>
              <w:rPr>
                <w:bCs/>
                <w:szCs w:val="21"/>
              </w:rPr>
              <w:t>10</w:t>
            </w:r>
            <w:r>
              <w:rPr>
                <w:rFonts w:hint="eastAsia"/>
                <w:bCs/>
                <w:szCs w:val="21"/>
              </w:rPr>
              <w:t xml:space="preserve">分钟 </w:t>
            </w:r>
          </w:p>
          <w:p>
            <w:pPr>
              <w:spacing w:line="360" w:lineRule="auto"/>
              <w:rPr>
                <w:bCs/>
                <w:szCs w:val="21"/>
              </w:rPr>
            </w:pPr>
            <w:r>
              <w:rPr>
                <w:rFonts w:hint="eastAsia"/>
                <w:bCs/>
                <w:szCs w:val="21"/>
              </w:rPr>
              <w:t>16.安全防护：样品穿孔后，控制软件自动切断电解槽和电机电源，蜂鸣器同时报警。</w:t>
            </w:r>
          </w:p>
          <w:p>
            <w:pPr>
              <w:spacing w:line="360" w:lineRule="auto"/>
              <w:rPr>
                <w:bCs/>
                <w:color w:val="FF0000"/>
                <w:szCs w:val="21"/>
              </w:rPr>
            </w:pPr>
            <w:r>
              <w:rPr>
                <w:rFonts w:hint="eastAsia"/>
                <w:bCs/>
                <w:color w:val="FF0000"/>
                <w:szCs w:val="21"/>
              </w:rPr>
              <w:t>1</w:t>
            </w:r>
            <w:r>
              <w:rPr>
                <w:bCs/>
                <w:color w:val="FF0000"/>
                <w:szCs w:val="21"/>
              </w:rPr>
              <w:t>7</w:t>
            </w:r>
            <w:r>
              <w:rPr>
                <w:rFonts w:hint="eastAsia"/>
                <w:bCs/>
                <w:color w:val="FF0000"/>
                <w:szCs w:val="21"/>
              </w:rPr>
              <w:t>. 包含控制电脑一台(台式机)，具体参数：</w:t>
            </w:r>
          </w:p>
          <w:p>
            <w:pPr>
              <w:pStyle w:val="2"/>
              <w:ind w:left="248" w:leftChars="118" w:firstLine="0" w:firstLineChars="0"/>
              <w:rPr>
                <w:rFonts w:ascii="Times New Roman" w:hAnsi="Times New Roman"/>
                <w:bCs/>
                <w:color w:val="FF0000"/>
                <w:sz w:val="21"/>
                <w:szCs w:val="21"/>
              </w:rPr>
            </w:pPr>
            <w:r>
              <w:rPr>
                <w:rFonts w:hint="eastAsia" w:ascii="Times New Roman" w:hAnsi="Times New Roman"/>
                <w:bCs/>
                <w:color w:val="FF0000"/>
                <w:sz w:val="21"/>
                <w:szCs w:val="21"/>
              </w:rPr>
              <w:t xml:space="preserve"> I5-11500 16G 256G+1T RX640 4G独显E2422H  </w:t>
            </w:r>
          </w:p>
        </w:tc>
        <w:tc>
          <w:tcPr>
            <w:tcW w:w="1341" w:type="dxa"/>
            <w:vAlign w:val="center"/>
          </w:tcPr>
          <w:p>
            <w:pPr>
              <w:spacing w:line="360" w:lineRule="auto"/>
              <w:jc w:val="center"/>
              <w:rPr>
                <w:color w:val="000000"/>
                <w:szCs w:val="21"/>
              </w:rPr>
            </w:pPr>
          </w:p>
        </w:tc>
      </w:tr>
    </w:tbl>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rPr>
          <w:color w:val="000000"/>
          <w:sz w:val="24"/>
        </w:rPr>
      </w:pPr>
      <w:r>
        <w:rPr>
          <w:color w:val="000000"/>
          <w:sz w:val="24"/>
        </w:rPr>
        <w:t>为保证货物来源的真实有效性，核心产品如代理商投标的需提供所投产品制造商或中国总代理（如为中国总代理另须提供产品制造商授予其为中国总代理的证明材料）的授权书。</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r>
        <w:rPr>
          <w:rFonts w:hint="eastAsia" w:ascii="宋体" w:hAnsi="宋体"/>
          <w:sz w:val="24"/>
        </w:rPr>
        <w:t>。</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投标人</w:t>
      </w:r>
      <w:r>
        <w:rPr>
          <w:rFonts w:ascii="宋体" w:hAnsi="宋体"/>
          <w:sz w:val="24"/>
        </w:rPr>
        <w:t>负责将设备运抵</w:t>
      </w:r>
      <w:r>
        <w:rPr>
          <w:rFonts w:hint="eastAsia" w:ascii="宋体" w:hAnsi="宋体"/>
          <w:sz w:val="24"/>
        </w:rPr>
        <w:t>招标人</w:t>
      </w:r>
      <w:r>
        <w:rPr>
          <w:rFonts w:ascii="宋体" w:hAnsi="宋体"/>
          <w:sz w:val="24"/>
        </w:rPr>
        <w:t>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b/>
          <w:bCs/>
          <w:color w:val="FF0000"/>
          <w:sz w:val="24"/>
        </w:rPr>
        <w:t>60</w:t>
      </w:r>
      <w:r>
        <w:rPr>
          <w:rFonts w:hint="eastAsia"/>
          <w:b/>
          <w:bCs/>
          <w:color w:val="FF0000"/>
          <w:sz w:val="24"/>
        </w:rPr>
        <w:t>天</w:t>
      </w:r>
      <w:r>
        <w:rPr>
          <w:rFonts w:hint="eastAsia"/>
          <w:b/>
          <w:bCs/>
          <w:color w:val="000000"/>
          <w:sz w:val="24"/>
        </w:rPr>
        <w:t>内完成供货安装，</w:t>
      </w:r>
      <w:r>
        <w:rPr>
          <w:rFonts w:hint="eastAsia"/>
          <w:b/>
          <w:bCs/>
          <w:color w:val="FF0000"/>
          <w:sz w:val="24"/>
        </w:rPr>
        <w:t>质保期壹年</w:t>
      </w:r>
      <w:r>
        <w:rPr>
          <w:rFonts w:hint="eastAsia"/>
          <w:b/>
          <w:bCs/>
          <w:color w:val="000000"/>
          <w:sz w:val="24"/>
        </w:rPr>
        <w:t>，自项目运行验收合格之日起</w:t>
      </w:r>
      <w:r>
        <w:rPr>
          <w:rFonts w:hAnsi="宋体"/>
          <w:b/>
          <w:bCs/>
          <w:color w:val="000000" w:themeColor="text1"/>
          <w:sz w:val="24"/>
          <w14:textFill>
            <w14:solidFill>
              <w14:schemeClr w14:val="tx1"/>
            </w14:solidFill>
          </w14:textFill>
        </w:rPr>
        <w:t xml:space="preserve"> 1</w:t>
      </w:r>
      <w:r>
        <w:rPr>
          <w:rFonts w:hint="eastAsia" w:hAnsi="宋体"/>
          <w:b/>
          <w:bCs/>
          <w:color w:val="000000" w:themeColor="text1"/>
          <w:sz w:val="24"/>
          <w14:textFill>
            <w14:solidFill>
              <w14:schemeClr w14:val="tx1"/>
            </w14:solidFill>
          </w14:textFill>
        </w:rPr>
        <w:t>个月后开始</w:t>
      </w:r>
      <w:r>
        <w:rPr>
          <w:rFonts w:hint="eastAsia"/>
          <w:b/>
          <w:bCs/>
          <w:color w:val="000000"/>
          <w:sz w:val="24"/>
        </w:rPr>
        <w:t>计算。</w:t>
      </w:r>
      <w:bookmarkStart w:id="5" w:name="_Hlk66699712"/>
    </w:p>
    <w:bookmarkEnd w:id="5"/>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为高真空电阻加热定向凝固系统</w:t>
      </w:r>
      <w:r>
        <w:rPr>
          <w:b/>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b/>
          <w:color w:val="000000"/>
          <w:sz w:val="24"/>
        </w:rPr>
      </w:pPr>
      <w:bookmarkStart w:id="6" w:name="_Hlk91246583"/>
      <w:r>
        <w:rPr>
          <w:rFonts w:hint="eastAsia" w:ascii="宋体" w:hAnsi="宋体"/>
          <w:b/>
          <w:color w:val="000000"/>
          <w:sz w:val="24"/>
        </w:rPr>
        <w:t>超硬材料工程实验室配套系统</w:t>
      </w:r>
      <w:bookmarkEnd w:id="6"/>
      <w:r>
        <w:rPr>
          <w:rFonts w:hint="eastAsia" w:ascii="宋体" w:hAnsi="宋体"/>
          <w:b/>
          <w:color w:val="000000"/>
          <w:sz w:val="24"/>
        </w:rPr>
        <w:t>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0"/>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b/>
          <w:bCs/>
          <w:color w:val="000000" w:themeColor="text1"/>
          <w:kern w:val="2"/>
          <w14:textFill>
            <w14:solidFill>
              <w14:schemeClr w14:val="tx1"/>
            </w14:solidFill>
          </w14:textFill>
        </w:rPr>
        <w:t>超硬材料工程实验室配套系统</w:t>
      </w:r>
      <w:r>
        <w:rPr>
          <w:rFonts w:hint="eastAsia"/>
          <w:color w:val="000000" w:themeColor="text1"/>
          <w:kern w:val="2"/>
          <w14:textFill>
            <w14:solidFill>
              <w14:schemeClr w14:val="tx1"/>
            </w14:solidFill>
          </w14:textFill>
        </w:rPr>
        <w:t>一</w:t>
      </w:r>
      <w:r>
        <w:rPr>
          <w:rFonts w:hint="eastAsia"/>
          <w:color w:val="000000" w:themeColor="text1"/>
          <w:kern w:val="2"/>
          <w:lang w:eastAsia="zh-CN"/>
          <w14:textFill>
            <w14:solidFill>
              <w14:schemeClr w14:val="tx1"/>
            </w14:solidFill>
          </w14:textFill>
        </w:rPr>
        <w:t>批</w:t>
      </w:r>
      <w:r>
        <w:rPr>
          <w:rFonts w:hint="eastAsia"/>
          <w:color w:val="000000" w:themeColor="text1"/>
          <w:kern w:val="2"/>
          <w14:textFill>
            <w14:solidFill>
              <w14:schemeClr w14:val="tx1"/>
            </w14:solidFill>
          </w14:textFill>
        </w:rPr>
        <w:t>，经双方协商一致本着平等自愿的原则签订本合同。</w:t>
      </w:r>
    </w:p>
    <w:p>
      <w:pPr>
        <w:pStyle w:val="10"/>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0"/>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1"/>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6"/>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6"/>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6"/>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6"/>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6"/>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6"/>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6"/>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6"/>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6"/>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6"/>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6"/>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6"/>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6"/>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0"/>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0"/>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0"/>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0"/>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0"/>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0"/>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0"/>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0"/>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rPr>
        <w:t>202</w:t>
      </w:r>
      <w:r>
        <w:rPr>
          <w:rFonts w:hint="eastAsia" w:hAnsi="宋体"/>
          <w:b/>
          <w:bCs/>
          <w:color w:val="FF0000"/>
          <w:sz w:val="24"/>
          <w:szCs w:val="24"/>
        </w:rPr>
        <w:t>1年</w:t>
      </w:r>
      <w:r>
        <w:rPr>
          <w:rFonts w:hAnsi="宋体"/>
          <w:b/>
          <w:bCs/>
          <w:color w:val="FF0000"/>
          <w:sz w:val="24"/>
          <w:szCs w:val="24"/>
        </w:rPr>
        <w:t>01</w:t>
      </w:r>
      <w:r>
        <w:rPr>
          <w:rFonts w:hint="eastAsia" w:hAnsi="宋体"/>
          <w:b/>
          <w:bCs/>
          <w:color w:val="FF0000"/>
          <w:sz w:val="24"/>
          <w:szCs w:val="24"/>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b/>
          <w:bCs/>
          <w:color w:val="FF0000"/>
          <w:sz w:val="24"/>
          <w:szCs w:val="24"/>
        </w:rPr>
        <w:t>12个月</w:t>
      </w:r>
      <w:r>
        <w:rPr>
          <w:rFonts w:hint="eastAsia" w:hAnsi="宋体"/>
          <w:color w:val="000000" w:themeColor="text1"/>
          <w:sz w:val="24"/>
          <w:szCs w:val="24"/>
          <w14:textFill>
            <w14:solidFill>
              <w14:schemeClr w14:val="tx1"/>
            </w14:solidFill>
          </w14:textFill>
        </w:rPr>
        <w:t>。如因甲方原因导致不能及时安装的，产品的质保期自运行验收通过之日起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6"/>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6"/>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5"/>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ascii="宋体" w:hAnsi="宋体"/>
          <w:b/>
          <w:bCs/>
          <w:color w:val="FF0000"/>
          <w:kern w:val="0"/>
          <w:sz w:val="24"/>
        </w:rPr>
        <w:t>60</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5"/>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jc w:val="left"/>
        <w:rPr>
          <w:rFonts w:hint="eastAsia" w:ascii="宋体" w:hAnsi="宋体"/>
          <w:color w:val="000000"/>
          <w:sz w:val="24"/>
          <w:highlight w:val="yellow"/>
        </w:rPr>
      </w:pPr>
      <w:r>
        <w:rPr>
          <w:rFonts w:hint="eastAsia" w:ascii="宋体" w:hAnsi="宋体"/>
          <w:color w:val="000000"/>
          <w:sz w:val="24"/>
          <w:highlight w:val="yellow"/>
        </w:rPr>
        <w:t>1.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0"/>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6"/>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6"/>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6"/>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6"/>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6"/>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6"/>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6"/>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5"/>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6"/>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6"/>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0"/>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7" w:name="_Hlk41297247"/>
      <w:r>
        <w:rPr>
          <w:color w:val="000000"/>
          <w:sz w:val="24"/>
        </w:rPr>
        <w:t>，投标人应派代表参加询标</w:t>
      </w:r>
      <w:bookmarkEnd w:id="7"/>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6"/>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6"/>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6"/>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6"/>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6"/>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6"/>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6"/>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ascii="宋体" w:hAnsi="宋体" w:cs="宋体"/>
                <w:b/>
                <w:bCs/>
                <w:color w:val="000000"/>
                <w:szCs w:val="21"/>
              </w:rPr>
              <w:t>49.5</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r>
              <w:rPr>
                <w:rFonts w:hint="eastAsia" w:ascii="宋体" w:hAnsi="宋体" w:cs="宋体"/>
                <w:color w:val="000000"/>
                <w:szCs w:val="21"/>
              </w:rPr>
              <w:t>（</w:t>
            </w:r>
            <w:r>
              <w:rPr>
                <w:rFonts w:hint="eastAsia" w:ascii="宋体" w:hAnsi="宋体" w:cs="宋体"/>
                <w:b/>
                <w:color w:val="FF0000"/>
                <w:szCs w:val="21"/>
              </w:rPr>
              <w:t>对于提供的投标产品均为小型或微型企业的投标人报价给予</w:t>
            </w:r>
            <w:r>
              <w:rPr>
                <w:rFonts w:hint="eastAsia" w:ascii="宋体" w:hAnsi="宋体" w:cs="宋体"/>
                <w:b/>
                <w:color w:val="FF0000"/>
                <w:szCs w:val="21"/>
                <w:lang w:val="en-US" w:eastAsia="zh-CN"/>
              </w:rPr>
              <w:t>10</w:t>
            </w:r>
            <w:r>
              <w:rPr>
                <w:rFonts w:hint="eastAsia" w:ascii="宋体" w:hAnsi="宋体" w:cs="宋体"/>
                <w:b/>
                <w:color w:val="FF0000"/>
                <w:szCs w:val="21"/>
              </w:rPr>
              <w:t>%的扣除，用扣除后的价格参与评审，投标人须将涉及的小型或微型企业在《中小企业声明函》中完整填报（监狱和戒毒企业或残疾人福利性单位提供声明函的享受同等政策），否则不给予价格扣除。）</w:t>
            </w:r>
            <w:bookmarkStart w:id="9" w:name="_GoBack"/>
            <w:bookmarkEnd w:id="9"/>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设备（系统）的可操性（0-3分）、稳定性（0-2分）、是否便于维护（0-2分）。（0-7分）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设备（系统）技术的合理性（0-3分）、成熟性（0-2分）、先进性（0-2分）。（0-7分）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rPr>
              <w:t>）</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17"/>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18"/>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color w:val="000000"/>
          <w:sz w:val="24"/>
        </w:rPr>
      </w:pPr>
      <w:r>
        <w:rPr>
          <w:color w:val="000000"/>
          <w:sz w:val="24"/>
        </w:rPr>
        <w:t>1.工作人员宣布投标截止时间，截止时间以国家授时中心标准时间为准，宣布招标会议开始。</w:t>
      </w:r>
    </w:p>
    <w:p>
      <w:pPr>
        <w:spacing w:line="360" w:lineRule="auto"/>
        <w:ind w:firstLine="480" w:firstLineChars="200"/>
        <w:rPr>
          <w:sz w:val="24"/>
        </w:rPr>
      </w:pPr>
      <w:r>
        <w:rPr>
          <w:sz w:val="24"/>
        </w:rPr>
        <w:t>2.电子投标开标及评审程序</w:t>
      </w:r>
    </w:p>
    <w:p>
      <w:pPr>
        <w:spacing w:line="360" w:lineRule="auto"/>
        <w:ind w:firstLine="480" w:firstLineChars="200"/>
        <w:rPr>
          <w:sz w:val="24"/>
        </w:rPr>
      </w:pPr>
      <w:r>
        <w:rPr>
          <w:sz w:val="24"/>
        </w:rPr>
        <w:t>（1）投标截止时间后，投标人登录政采云平台，用“项目采购-开标评标”功能对电子投标文件进行在线解密。在线解密电子投标文件时间为开标时间起半个小时内</w:t>
      </w:r>
      <w:r>
        <w:rPr>
          <w:rFonts w:hint="eastAsia"/>
          <w:sz w:val="24"/>
        </w:rPr>
        <w:t>；</w:t>
      </w:r>
    </w:p>
    <w:p>
      <w:pPr>
        <w:spacing w:line="360" w:lineRule="auto"/>
        <w:ind w:firstLine="480" w:firstLineChars="200"/>
        <w:rPr>
          <w:sz w:val="24"/>
        </w:rPr>
      </w:pPr>
      <w:r>
        <w:rPr>
          <w:sz w:val="24"/>
        </w:rPr>
        <w:t>（2）由采购人代表对资格审查文件进行评审，评标委员会对技术商务文件进行评审；</w:t>
      </w:r>
    </w:p>
    <w:p>
      <w:pPr>
        <w:spacing w:line="360" w:lineRule="auto"/>
        <w:ind w:firstLine="480" w:firstLineChars="200"/>
        <w:rPr>
          <w:sz w:val="24"/>
        </w:rPr>
      </w:pPr>
      <w:r>
        <w:rPr>
          <w:sz w:val="24"/>
        </w:rPr>
        <w:t>（3）在系统上公开资格审查和技术商务评审结果（系统会下发技术商务分数）；</w:t>
      </w:r>
    </w:p>
    <w:p>
      <w:pPr>
        <w:spacing w:line="360" w:lineRule="auto"/>
        <w:ind w:firstLine="480" w:firstLineChars="200"/>
        <w:rPr>
          <w:sz w:val="24"/>
        </w:rPr>
      </w:pPr>
      <w:r>
        <w:rPr>
          <w:sz w:val="24"/>
        </w:rPr>
        <w:t>（4）在系统上公开报价开标情况（报价文件开启后投标人在线对投标报价用数字CA进行数字签字确认）；</w:t>
      </w:r>
    </w:p>
    <w:p>
      <w:pPr>
        <w:spacing w:line="360" w:lineRule="auto"/>
        <w:ind w:firstLine="480" w:firstLineChars="200"/>
        <w:rPr>
          <w:sz w:val="24"/>
        </w:rPr>
      </w:pPr>
      <w:r>
        <w:rPr>
          <w:sz w:val="24"/>
        </w:rPr>
        <w:t>（5）评标委员会对报价情况进行评审；</w:t>
      </w:r>
    </w:p>
    <w:p>
      <w:pPr>
        <w:spacing w:line="360" w:lineRule="auto"/>
        <w:ind w:firstLine="480" w:firstLineChars="200"/>
        <w:rPr>
          <w:sz w:val="24"/>
        </w:rPr>
      </w:pPr>
      <w:r>
        <w:rPr>
          <w:sz w:val="24"/>
        </w:rPr>
        <w:t>（6）在系统上公布评审结果。</w:t>
      </w:r>
    </w:p>
    <w:p>
      <w:pPr>
        <w:spacing w:line="360" w:lineRule="auto"/>
        <w:ind w:firstLine="480" w:firstLineChars="200"/>
        <w:rPr>
          <w:sz w:val="24"/>
        </w:rPr>
      </w:pPr>
      <w:r>
        <w:rPr>
          <w:sz w:val="24"/>
        </w:rPr>
        <w:t>特别说明：政采云公司如对电子化开标及评审程序有调整的，按调整后的程序操作。</w:t>
      </w:r>
    </w:p>
    <w:p>
      <w:pPr>
        <w:spacing w:line="360" w:lineRule="auto"/>
        <w:ind w:left="480"/>
        <w:rPr>
          <w:color w:val="000000"/>
          <w:sz w:val="24"/>
        </w:rPr>
      </w:pPr>
      <w:r>
        <w:rPr>
          <w:color w:val="000000"/>
          <w:sz w:val="24"/>
        </w:rPr>
        <w:t>3.开标会结束。</w:t>
      </w:r>
    </w:p>
    <w:p>
      <w:pPr>
        <w:widowControl/>
        <w:jc w:val="left"/>
        <w:rPr>
          <w:b/>
          <w:color w:val="000000"/>
          <w:sz w:val="32"/>
          <w:szCs w:val="32"/>
        </w:rPr>
      </w:pPr>
      <w:r>
        <w:rPr>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eastAsia" w:eastAsia="宋体"/>
          <w:color w:val="000000"/>
          <w:spacing w:val="20"/>
          <w:sz w:val="32"/>
          <w:szCs w:val="32"/>
          <w:lang w:eastAsia="zh-CN"/>
        </w:rPr>
      </w:pPr>
      <w:r>
        <w:rPr>
          <w:color w:val="000000"/>
          <w:spacing w:val="20"/>
          <w:sz w:val="32"/>
          <w:szCs w:val="32"/>
        </w:rPr>
        <w:t>项目编号：</w:t>
      </w:r>
      <w:r>
        <w:rPr>
          <w:b/>
          <w:color w:val="000000"/>
          <w:sz w:val="32"/>
          <w:szCs w:val="32"/>
        </w:rPr>
        <w:t>衢院招</w:t>
      </w:r>
      <w:r>
        <w:rPr>
          <w:rFonts w:hint="eastAsia"/>
          <w:b/>
          <w:color w:val="000000"/>
          <w:sz w:val="32"/>
          <w:szCs w:val="32"/>
        </w:rPr>
        <w:t>2022-06</w:t>
      </w:r>
      <w:r>
        <w:rPr>
          <w:rFonts w:hint="eastAsia"/>
          <w:b/>
          <w:color w:val="000000"/>
          <w:sz w:val="32"/>
          <w:szCs w:val="32"/>
          <w:lang w:eastAsia="zh-CN"/>
        </w:rPr>
        <w:t>（第二次）</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bookmarkStart w:id="8" w:name="_Hlk91506996"/>
      <w:r>
        <w:rPr>
          <w:rFonts w:hint="eastAsia"/>
          <w:b/>
          <w:bCs/>
          <w:color w:val="000000"/>
          <w:spacing w:val="20"/>
          <w:sz w:val="32"/>
          <w:szCs w:val="32"/>
        </w:rPr>
        <w:t>超硬材料工程实验室配套系统</w:t>
      </w:r>
      <w:bookmarkEnd w:id="8"/>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color w:val="000000"/>
          <w:sz w:val="28"/>
          <w:szCs w:val="28"/>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bCs/>
          <w:color w:val="000000"/>
          <w:sz w:val="28"/>
          <w:szCs w:val="28"/>
          <w:u w:val="single"/>
        </w:rPr>
        <w:t>超硬材料工程实验室配套系统</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2022-06</w:t>
      </w:r>
      <w:r>
        <w:rPr>
          <w:rFonts w:hint="eastAsia"/>
          <w:b/>
          <w:color w:val="000000"/>
          <w:sz w:val="28"/>
          <w:szCs w:val="28"/>
          <w:u w:val="single"/>
          <w:lang w:eastAsia="zh-CN"/>
        </w:rPr>
        <w:t>（第二次）</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bCs/>
          <w:color w:val="000000"/>
          <w:sz w:val="28"/>
          <w:szCs w:val="28"/>
          <w:u w:val="single"/>
        </w:rPr>
        <w:t>超硬材料工程实验室配套系统</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2022-06</w:t>
      </w:r>
      <w:r>
        <w:rPr>
          <w:rFonts w:hint="eastAsia"/>
          <w:b/>
          <w:color w:val="000000"/>
          <w:sz w:val="28"/>
          <w:szCs w:val="28"/>
          <w:u w:val="single"/>
          <w:lang w:eastAsia="zh-CN"/>
        </w:rPr>
        <w:t>（第二次）</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2022-06</w:t>
      </w:r>
      <w:r>
        <w:rPr>
          <w:rFonts w:hint="eastAsia" w:ascii="宋体" w:hAnsi="宋体" w:cs="宋体"/>
          <w:b/>
          <w:color w:val="000000"/>
          <w:sz w:val="32"/>
          <w:szCs w:val="32"/>
          <w:lang w:eastAsia="zh-CN"/>
        </w:rPr>
        <w:t>（第二次）</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超硬材料工程实验室配套系统</w:t>
      </w:r>
    </w:p>
    <w:tbl>
      <w:tblPr>
        <w:tblStyle w:val="11"/>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6"/>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6"/>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6"/>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6"/>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6"/>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6"/>
              <w:snapToGrid w:val="0"/>
              <w:spacing w:line="240" w:lineRule="atLeast"/>
              <w:ind w:firstLine="300" w:firstLineChars="100"/>
              <w:jc w:val="center"/>
              <w:rPr>
                <w:rFonts w:ascii="Times New Roman" w:hAnsi="Times New Roman"/>
                <w:color w:val="000000"/>
                <w:kern w:val="2"/>
                <w:sz w:val="30"/>
                <w:szCs w:val="30"/>
              </w:rPr>
            </w:pPr>
          </w:p>
        </w:tc>
      </w:tr>
    </w:tbl>
    <w:p>
      <w:pPr>
        <w:pStyle w:val="6"/>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6"/>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6"/>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6"/>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2022-06</w:t>
      </w:r>
      <w:r>
        <w:rPr>
          <w:rFonts w:hint="eastAsia" w:ascii="宋体" w:hAnsi="宋体" w:cs="宋体"/>
          <w:b/>
          <w:color w:val="000000"/>
          <w:sz w:val="32"/>
          <w:szCs w:val="32"/>
          <w:lang w:eastAsia="zh-CN"/>
        </w:rPr>
        <w:t>（第二次）</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超硬材料工程实验室配套系统</w:t>
      </w:r>
    </w:p>
    <w:p>
      <w:pPr>
        <w:spacing w:line="480" w:lineRule="exact"/>
        <w:ind w:left="480"/>
        <w:rPr>
          <w:bCs/>
          <w:color w:val="000000"/>
          <w:sz w:val="28"/>
          <w:szCs w:val="28"/>
        </w:rPr>
      </w:pPr>
    </w:p>
    <w:tbl>
      <w:tblPr>
        <w:tblStyle w:val="1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2022-06</w:t>
      </w:r>
      <w:r>
        <w:rPr>
          <w:rFonts w:hint="eastAsia" w:ascii="宋体" w:hAnsi="宋体" w:cs="宋体"/>
          <w:b/>
          <w:color w:val="000000"/>
          <w:sz w:val="32"/>
          <w:szCs w:val="32"/>
          <w:lang w:eastAsia="zh-CN"/>
        </w:rPr>
        <w:t>（第二次）</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超硬材料工程实验室配套系统</w:t>
      </w:r>
    </w:p>
    <w:p>
      <w:pPr>
        <w:spacing w:line="480" w:lineRule="exact"/>
        <w:rPr>
          <w:bCs/>
          <w:color w:val="000000"/>
          <w:sz w:val="28"/>
          <w:szCs w:val="28"/>
        </w:rPr>
      </w:pPr>
    </w:p>
    <w:tbl>
      <w:tblPr>
        <w:tblStyle w:val="11"/>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2022-06</w:t>
      </w:r>
      <w:r>
        <w:rPr>
          <w:rFonts w:hint="eastAsia" w:ascii="宋体" w:hAnsi="宋体" w:cs="宋体"/>
          <w:b/>
          <w:color w:val="000000"/>
          <w:sz w:val="32"/>
          <w:szCs w:val="32"/>
          <w:lang w:eastAsia="zh-CN"/>
        </w:rPr>
        <w:t>（第二次）</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超硬材料工程实验室配套系统</w:t>
      </w:r>
    </w:p>
    <w:p>
      <w:pPr>
        <w:snapToGrid w:val="0"/>
        <w:spacing w:line="360" w:lineRule="auto"/>
        <w:rPr>
          <w:b/>
          <w:color w:val="000000"/>
          <w:sz w:val="32"/>
          <w:szCs w:val="32"/>
        </w:rPr>
      </w:pPr>
    </w:p>
    <w:tbl>
      <w:tblPr>
        <w:tblStyle w:val="11"/>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2022-06</w:t>
      </w:r>
      <w:r>
        <w:rPr>
          <w:rFonts w:hint="eastAsia" w:ascii="宋体" w:hAnsi="宋体" w:cs="宋体"/>
          <w:b/>
          <w:color w:val="000000"/>
          <w:sz w:val="32"/>
          <w:szCs w:val="32"/>
          <w:lang w:eastAsia="zh-CN"/>
        </w:rPr>
        <w:t>（第二次）</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超硬材料工程实验室配套系统</w:t>
      </w:r>
    </w:p>
    <w:tbl>
      <w:tblPr>
        <w:tblStyle w:val="11"/>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3"/>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19"/>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项目编号：衢院招2022-06</w:t>
    </w:r>
    <w:r>
      <w:rPr>
        <w:rFonts w:hint="eastAsia" w:ascii="宋体" w:hAnsi="宋体"/>
        <w:lang w:val="en-US" w:eastAsia="zh-CN"/>
      </w:rPr>
      <w:t>(第二次)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657A9"/>
    <w:rsid w:val="000B1990"/>
    <w:rsid w:val="000B6CE0"/>
    <w:rsid w:val="00163416"/>
    <w:rsid w:val="001D583A"/>
    <w:rsid w:val="003F5049"/>
    <w:rsid w:val="00430EA6"/>
    <w:rsid w:val="00764792"/>
    <w:rsid w:val="007B4564"/>
    <w:rsid w:val="0096777A"/>
    <w:rsid w:val="00984C28"/>
    <w:rsid w:val="009C04BE"/>
    <w:rsid w:val="00AD0D6F"/>
    <w:rsid w:val="00AF0C28"/>
    <w:rsid w:val="00B70471"/>
    <w:rsid w:val="00C22D11"/>
    <w:rsid w:val="00CB4764"/>
    <w:rsid w:val="00DC2271"/>
    <w:rsid w:val="00DE3EA6"/>
    <w:rsid w:val="00E245BD"/>
    <w:rsid w:val="00E70A1D"/>
    <w:rsid w:val="00F14FDA"/>
    <w:rsid w:val="01A33B02"/>
    <w:rsid w:val="047A39B0"/>
    <w:rsid w:val="0D531147"/>
    <w:rsid w:val="12217BB4"/>
    <w:rsid w:val="131404FE"/>
    <w:rsid w:val="16052E0E"/>
    <w:rsid w:val="24FC0B4A"/>
    <w:rsid w:val="264D609B"/>
    <w:rsid w:val="2E311084"/>
    <w:rsid w:val="314C3CC1"/>
    <w:rsid w:val="3163356E"/>
    <w:rsid w:val="4A16024B"/>
    <w:rsid w:val="4BFB6250"/>
    <w:rsid w:val="4D6324B6"/>
    <w:rsid w:val="505E214E"/>
    <w:rsid w:val="53630F7C"/>
    <w:rsid w:val="54B83D01"/>
    <w:rsid w:val="554657A9"/>
    <w:rsid w:val="55C33117"/>
    <w:rsid w:val="58426606"/>
    <w:rsid w:val="5CBE206B"/>
    <w:rsid w:val="63067A8F"/>
    <w:rsid w:val="662A644D"/>
    <w:rsid w:val="692F05DA"/>
    <w:rsid w:val="6EA95B14"/>
    <w:rsid w:val="71585C96"/>
    <w:rsid w:val="71BC3629"/>
    <w:rsid w:val="76A15169"/>
    <w:rsid w:val="77E816E9"/>
    <w:rsid w:val="79736759"/>
    <w:rsid w:val="7D7B4CFA"/>
    <w:rsid w:val="7E235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Body Text Indent"/>
    <w:basedOn w:val="1"/>
    <w:qFormat/>
    <w:uiPriority w:val="0"/>
    <w:pPr>
      <w:spacing w:after="120"/>
      <w:ind w:left="420" w:leftChars="200"/>
    </w:pPr>
  </w:style>
  <w:style w:type="paragraph" w:styleId="6">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7">
    <w:name w:val="Date"/>
    <w:basedOn w:val="1"/>
    <w:next w:val="1"/>
    <w:qFormat/>
    <w:uiPriority w:val="0"/>
    <w:pPr>
      <w:ind w:left="100" w:leftChars="2500"/>
    </w:pPr>
    <w:rPr>
      <w:rFonts w:ascii="仿宋_GB2312" w:eastAsia="仿宋_GB2312"/>
      <w:b/>
      <w:sz w:val="36"/>
      <w:szCs w:val="36"/>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
    <w:name w:val="List Paragraph"/>
    <w:basedOn w:val="1"/>
    <w:qFormat/>
    <w:uiPriority w:val="34"/>
    <w:pPr>
      <w:ind w:firstLine="420" w:firstLineChars="200"/>
    </w:pPr>
  </w:style>
  <w:style w:type="paragraph" w:customStyle="1" w:styleId="15">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6">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19">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3324</Words>
  <Characters>18949</Characters>
  <Lines>157</Lines>
  <Paragraphs>44</Paragraphs>
  <TotalTime>0</TotalTime>
  <ScaleCrop>false</ScaleCrop>
  <LinksUpToDate>false</LinksUpToDate>
  <CharactersWithSpaces>22229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dcterms:modified xsi:type="dcterms:W3CDTF">2022-06-06T00:35:54Z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52F0C2D3609B4EED9702F1563A0D074F</vt:lpwstr>
  </property>
</Properties>
</file>