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000000"/>
          <w:sz w:val="24"/>
        </w:rPr>
      </w:pP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衢 州 学 院</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校园</w:t>
      </w:r>
      <w:r>
        <w:rPr>
          <w:rFonts w:hint="eastAsia" w:ascii="宋体" w:hAnsi="宋体" w:cs="宋体"/>
          <w:b/>
          <w:bCs/>
          <w:color w:val="000000"/>
          <w:sz w:val="44"/>
          <w:szCs w:val="44"/>
          <w:lang w:val="en-US" w:eastAsia="zh-CN"/>
        </w:rPr>
        <w:t>新能源汽车充电</w:t>
      </w:r>
      <w:r>
        <w:rPr>
          <w:rFonts w:hint="eastAsia" w:ascii="宋体" w:hAnsi="宋体" w:eastAsia="宋体" w:cs="宋体"/>
          <w:b/>
          <w:bCs/>
          <w:color w:val="000000"/>
          <w:sz w:val="44"/>
          <w:szCs w:val="44"/>
          <w:lang w:val="en-US" w:eastAsia="zh-CN"/>
        </w:rPr>
        <w:t>服务</w:t>
      </w:r>
      <w:r>
        <w:rPr>
          <w:rFonts w:hint="eastAsia" w:ascii="宋体" w:hAnsi="宋体" w:eastAsia="宋体" w:cs="宋体"/>
          <w:b/>
          <w:bCs/>
          <w:color w:val="000000"/>
          <w:sz w:val="44"/>
          <w:szCs w:val="44"/>
        </w:rPr>
        <w:t>项目</w:t>
      </w:r>
    </w:p>
    <w:p>
      <w:pPr>
        <w:spacing w:line="360" w:lineRule="auto"/>
        <w:jc w:val="center"/>
        <w:rPr>
          <w:rFonts w:hint="eastAsia" w:ascii="宋体" w:hAnsi="宋体" w:eastAsia="宋体" w:cs="宋体"/>
          <w:sz w:val="72"/>
          <w:szCs w:val="72"/>
        </w:rPr>
      </w:pPr>
      <w:r>
        <w:rPr>
          <w:rFonts w:hint="eastAsia" w:ascii="宋体" w:hAnsi="宋体" w:eastAsia="宋体" w:cs="宋体"/>
          <w:b/>
          <w:sz w:val="28"/>
          <w:szCs w:val="28"/>
        </w:rPr>
        <w:t>（</w:t>
      </w:r>
      <w:r>
        <w:rPr>
          <w:rFonts w:hint="eastAsia" w:ascii="宋体" w:hAnsi="宋体" w:eastAsia="宋体" w:cs="宋体"/>
          <w:b/>
          <w:sz w:val="28"/>
          <w:szCs w:val="28"/>
          <w:lang w:val="en-US" w:eastAsia="zh-CN"/>
        </w:rPr>
        <w:t>后勤处</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公</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开</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招</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标</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文</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72"/>
          <w:szCs w:val="72"/>
        </w:rPr>
        <w:t>件</w:t>
      </w: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招标单位：衢州学院</w:t>
      </w:r>
    </w:p>
    <w:p>
      <w:pPr>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8</w:t>
      </w:r>
      <w:r>
        <w:rPr>
          <w:rFonts w:hint="eastAsia" w:ascii="宋体" w:hAnsi="宋体" w:eastAsia="宋体" w:cs="宋体"/>
          <w:b/>
          <w:bCs/>
          <w:color w:val="000000" w:themeColor="text1"/>
          <w:sz w:val="36"/>
          <w:szCs w:val="36"/>
          <w14:textFill>
            <w14:solidFill>
              <w14:schemeClr w14:val="tx1"/>
            </w14:solidFill>
          </w14:textFill>
        </w:rPr>
        <w:t>月</w:t>
      </w:r>
    </w:p>
    <w:p>
      <w:pPr>
        <w:pStyle w:val="3"/>
        <w:spacing w:line="360" w:lineRule="auto"/>
        <w:ind w:left="0" w:leftChars="0" w:firstLine="0" w:firstLineChars="0"/>
        <w:jc w:val="both"/>
        <w:rPr>
          <w:rFonts w:hint="eastAsia" w:ascii="宋体" w:hAnsi="宋体" w:eastAsia="宋体" w:cs="宋体"/>
          <w:b/>
          <w:bCs/>
          <w:sz w:val="36"/>
          <w:szCs w:val="36"/>
        </w:rPr>
      </w:pPr>
    </w:p>
    <w:p>
      <w:pPr>
        <w:pStyle w:val="3"/>
        <w:spacing w:line="360" w:lineRule="auto"/>
        <w:ind w:left="200" w:leftChars="100"/>
        <w:jc w:val="center"/>
        <w:rPr>
          <w:rFonts w:hint="eastAsia" w:ascii="宋体" w:hAnsi="宋体" w:eastAsia="宋体" w:cs="宋体"/>
          <w:b/>
          <w:bCs/>
          <w:sz w:val="36"/>
          <w:szCs w:val="36"/>
        </w:rPr>
      </w:pPr>
    </w:p>
    <w:p>
      <w:pPr>
        <w:pStyle w:val="3"/>
        <w:spacing w:line="360" w:lineRule="auto"/>
        <w:ind w:left="200" w:leftChars="100"/>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ind w:firstLine="640" w:firstLineChars="200"/>
        <w:jc w:val="both"/>
        <w:rPr>
          <w:rFonts w:hint="eastAsia" w:ascii="宋体" w:hAnsi="宋体"/>
          <w:bCs/>
          <w:sz w:val="32"/>
          <w:szCs w:val="36"/>
        </w:rPr>
      </w:pPr>
      <w:r>
        <w:rPr>
          <w:rFonts w:hint="eastAsia" w:ascii="宋体" w:hAnsi="宋体"/>
          <w:bCs/>
          <w:sz w:val="32"/>
          <w:szCs w:val="36"/>
        </w:rPr>
        <w:t>第一章  招标公告</w:t>
      </w:r>
      <w:r>
        <w:rPr>
          <w:rFonts w:hint="eastAsia" w:ascii="宋体" w:hAnsi="宋体"/>
          <w:sz w:val="32"/>
        </w:rPr>
        <w:t>…………………………………………3</w:t>
      </w:r>
    </w:p>
    <w:p>
      <w:pPr>
        <w:jc w:val="center"/>
        <w:rPr>
          <w:rFonts w:hint="eastAsia" w:ascii="宋体" w:hAnsi="宋体"/>
          <w:bCs/>
          <w:sz w:val="32"/>
          <w:szCs w:val="36"/>
        </w:rPr>
      </w:pPr>
    </w:p>
    <w:p>
      <w:pPr>
        <w:ind w:firstLine="640" w:firstLineChars="200"/>
        <w:jc w:val="both"/>
        <w:rPr>
          <w:rFonts w:hint="eastAsia" w:ascii="宋体" w:hAnsi="宋体" w:eastAsia="宋体"/>
          <w:bCs/>
          <w:sz w:val="32"/>
          <w:szCs w:val="36"/>
          <w:lang w:val="en-US" w:eastAsia="zh-CN"/>
        </w:rPr>
      </w:pPr>
      <w:r>
        <w:rPr>
          <w:rFonts w:hint="eastAsia" w:ascii="宋体" w:hAnsi="宋体"/>
          <w:bCs/>
          <w:sz w:val="32"/>
          <w:szCs w:val="36"/>
        </w:rPr>
        <w:t>第二章  投标须知</w:t>
      </w:r>
      <w:r>
        <w:rPr>
          <w:rFonts w:hint="eastAsia" w:ascii="宋体" w:hAnsi="宋体"/>
          <w:sz w:val="32"/>
        </w:rPr>
        <w:t>…………………………………………</w:t>
      </w:r>
      <w:r>
        <w:rPr>
          <w:rFonts w:hint="eastAsia" w:ascii="宋体" w:hAnsi="宋体"/>
          <w:sz w:val="32"/>
          <w:lang w:val="en-US" w:eastAsia="zh-CN"/>
        </w:rPr>
        <w:t>6</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第三章  采购内容及要求</w:t>
      </w:r>
      <w:r>
        <w:rPr>
          <w:rFonts w:hint="eastAsia" w:ascii="宋体" w:hAnsi="宋体"/>
          <w:sz w:val="32"/>
        </w:rPr>
        <w:t>…………………………………1</w:t>
      </w:r>
      <w:r>
        <w:rPr>
          <w:rFonts w:hint="eastAsia" w:ascii="宋体" w:hAnsi="宋体"/>
          <w:sz w:val="32"/>
          <w:lang w:val="en-US" w:eastAsia="zh-CN"/>
        </w:rPr>
        <w:t>4</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第四章  合同主要条款</w:t>
      </w:r>
      <w:r>
        <w:rPr>
          <w:rFonts w:hint="eastAsia" w:ascii="宋体" w:hAnsi="宋体"/>
          <w:sz w:val="32"/>
        </w:rPr>
        <w:t>……………………………………1</w:t>
      </w:r>
      <w:r>
        <w:rPr>
          <w:rFonts w:hint="eastAsia" w:ascii="宋体" w:hAnsi="宋体"/>
          <w:sz w:val="32"/>
          <w:lang w:val="en-US" w:eastAsia="zh-CN"/>
        </w:rPr>
        <w:t>7</w:t>
      </w:r>
    </w:p>
    <w:p>
      <w:pPr>
        <w:jc w:val="center"/>
        <w:rPr>
          <w:rFonts w:hint="eastAsia" w:ascii="宋体" w:hAnsi="宋体"/>
          <w:bCs/>
          <w:sz w:val="32"/>
        </w:rPr>
      </w:pPr>
    </w:p>
    <w:p>
      <w:pPr>
        <w:jc w:val="center"/>
        <w:rPr>
          <w:rFonts w:hint="default" w:ascii="宋体" w:hAnsi="宋体" w:eastAsia="宋体"/>
          <w:bCs/>
          <w:sz w:val="32"/>
          <w:lang w:val="en-US" w:eastAsia="zh-CN"/>
        </w:rPr>
      </w:pPr>
      <w:r>
        <w:rPr>
          <w:rFonts w:hint="eastAsia" w:ascii="宋体" w:hAnsi="宋体"/>
          <w:bCs/>
          <w:sz w:val="32"/>
        </w:rPr>
        <w:t>第五章  评标办法及开标程序</w:t>
      </w:r>
      <w:r>
        <w:rPr>
          <w:rFonts w:hint="eastAsia" w:ascii="宋体" w:hAnsi="宋体"/>
          <w:sz w:val="32"/>
        </w:rPr>
        <w:t>……………………………</w:t>
      </w:r>
      <w:r>
        <w:rPr>
          <w:rFonts w:hint="eastAsia" w:ascii="宋体" w:hAnsi="宋体"/>
          <w:sz w:val="32"/>
          <w:lang w:val="en-US" w:eastAsia="zh-CN"/>
        </w:rPr>
        <w:t>19</w:t>
      </w:r>
    </w:p>
    <w:p>
      <w:pPr>
        <w:tabs>
          <w:tab w:val="left" w:pos="7200"/>
        </w:tabs>
        <w:jc w:val="center"/>
        <w:rPr>
          <w:rFonts w:hint="eastAsia" w:ascii="宋体" w:hAnsi="宋体"/>
          <w:bCs/>
          <w:sz w:val="32"/>
        </w:rPr>
      </w:pPr>
    </w:p>
    <w:p>
      <w:pPr>
        <w:jc w:val="center"/>
        <w:rPr>
          <w:rFonts w:hint="eastAsia" w:ascii="宋体" w:hAnsi="宋体" w:eastAsia="宋体"/>
          <w:sz w:val="28"/>
          <w:lang w:val="en-US" w:eastAsia="zh-CN"/>
        </w:rPr>
      </w:pPr>
      <w:r>
        <w:rPr>
          <w:rFonts w:hint="eastAsia" w:ascii="宋体" w:hAnsi="宋体"/>
          <w:bCs/>
          <w:sz w:val="32"/>
        </w:rPr>
        <w:t>第六章  应提交的有关材料格式范例</w:t>
      </w:r>
      <w:r>
        <w:rPr>
          <w:rFonts w:hint="eastAsia" w:ascii="宋体" w:hAnsi="宋体"/>
          <w:sz w:val="32"/>
        </w:rPr>
        <w:t>……………………2</w:t>
      </w:r>
      <w:r>
        <w:rPr>
          <w:rFonts w:hint="eastAsia" w:ascii="宋体" w:hAnsi="宋体"/>
          <w:sz w:val="32"/>
          <w:lang w:val="en-US" w:eastAsia="zh-CN"/>
        </w:rPr>
        <w:t>2</w:t>
      </w:r>
    </w:p>
    <w:p>
      <w:pPr>
        <w:spacing w:line="440" w:lineRule="atLeast"/>
        <w:jc w:val="center"/>
        <w:rPr>
          <w:rFonts w:hint="eastAsia" w:ascii="宋体" w:hAnsi="宋体"/>
          <w:bCs/>
          <w:sz w:val="32"/>
        </w:rPr>
      </w:pPr>
    </w:p>
    <w:p>
      <w:pPr>
        <w:rPr>
          <w:rFonts w:hint="eastAsia" w:ascii="宋体" w:hAnsi="宋体" w:eastAsia="宋体" w:cs="宋体"/>
          <w:bCs/>
          <w:sz w:val="32"/>
          <w:szCs w:val="36"/>
        </w:rPr>
      </w:pPr>
    </w:p>
    <w:sdt>
      <w:sdtPr>
        <w:rPr>
          <w:rFonts w:hint="eastAsia" w:ascii="宋体" w:hAnsi="宋体" w:eastAsia="宋体" w:cs="宋体"/>
          <w:kern w:val="2"/>
          <w:sz w:val="21"/>
          <w:lang w:val="en-US" w:eastAsia="zh-CN" w:bidi="ar-SA"/>
        </w:rPr>
        <w:id w:val="147476686"/>
        <w15:color w:val="DBDBDB"/>
        <w:docPartObj>
          <w:docPartGallery w:val="Table of Contents"/>
          <w:docPartUnique/>
        </w:docPartObj>
      </w:sdtPr>
      <w:sdtEndPr>
        <w:rPr>
          <w:rFonts w:hint="eastAsia" w:ascii="宋体" w:hAnsi="宋体" w:eastAsia="宋体" w:cs="宋体"/>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sdtContent>
    </w:sdt>
    <w:p>
      <w:pPr>
        <w:spacing w:line="440" w:lineRule="atLeast"/>
        <w:jc w:val="center"/>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360" w:lineRule="auto"/>
        <w:jc w:val="center"/>
        <w:rPr>
          <w:rFonts w:hint="eastAsia" w:ascii="宋体" w:hAnsi="宋体" w:eastAsia="宋体" w:cs="宋体"/>
          <w:sz w:val="36"/>
          <w:szCs w:val="36"/>
        </w:rPr>
      </w:pPr>
    </w:p>
    <w:p>
      <w:pPr>
        <w:spacing w:line="360" w:lineRule="auto"/>
        <w:jc w:val="center"/>
        <w:outlineLvl w:val="0"/>
        <w:rPr>
          <w:rStyle w:val="26"/>
          <w:rFonts w:hint="eastAsia" w:ascii="宋体" w:hAnsi="宋体" w:eastAsia="宋体" w:cs="宋体"/>
        </w:rPr>
      </w:pPr>
      <w:bookmarkStart w:id="0" w:name="_Toc30707"/>
    </w:p>
    <w:p>
      <w:pPr>
        <w:spacing w:line="360" w:lineRule="auto"/>
        <w:jc w:val="center"/>
        <w:outlineLvl w:val="0"/>
        <w:rPr>
          <w:rStyle w:val="26"/>
          <w:rFonts w:hint="eastAsia" w:ascii="宋体" w:hAnsi="宋体" w:eastAsia="宋体" w:cs="宋体"/>
        </w:rPr>
      </w:pPr>
      <w:r>
        <w:rPr>
          <w:rStyle w:val="26"/>
          <w:rFonts w:hint="eastAsia" w:ascii="宋体" w:hAnsi="宋体" w:eastAsia="宋体" w:cs="宋体"/>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根据有关规定，现就衢州学院</w:t>
      </w:r>
      <w:r>
        <w:rPr>
          <w:rFonts w:hint="eastAsia" w:ascii="宋体" w:hAnsi="宋体" w:cs="宋体"/>
          <w:b/>
          <w:bCs/>
          <w:sz w:val="24"/>
          <w:szCs w:val="24"/>
          <w:lang w:val="en-US" w:eastAsia="zh-CN"/>
        </w:rPr>
        <w:t>校园新能源汽车充电服务</w:t>
      </w:r>
      <w:r>
        <w:rPr>
          <w:rFonts w:hint="eastAsia" w:ascii="宋体" w:hAnsi="宋体" w:eastAsia="宋体" w:cs="宋体"/>
          <w:b/>
          <w:bCs/>
          <w:color w:val="000000" w:themeColor="text1"/>
          <w:sz w:val="24"/>
          <w:szCs w:val="24"/>
          <w:lang w:eastAsia="zh-CN"/>
          <w14:textFill>
            <w14:solidFill>
              <w14:schemeClr w14:val="tx1"/>
            </w14:solidFill>
          </w14:textFill>
        </w:rPr>
        <w:t>项目</w:t>
      </w:r>
      <w:r>
        <w:rPr>
          <w:rFonts w:hint="eastAsia" w:ascii="宋体" w:hAnsi="宋体" w:eastAsia="宋体" w:cs="宋体"/>
          <w:sz w:val="24"/>
          <w:szCs w:val="24"/>
        </w:rPr>
        <w:t>进行公开招标。</w:t>
      </w:r>
      <w:r>
        <w:rPr>
          <w:rFonts w:hint="eastAsia" w:ascii="宋体" w:hAnsi="宋体" w:eastAsia="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eastAsia="宋体" w:cs="宋体"/>
          <w:b/>
          <w:bCs/>
          <w:kern w:val="0"/>
          <w:sz w:val="24"/>
          <w:szCs w:val="24"/>
        </w:rPr>
        <w:t>一、项目名称：</w:t>
      </w:r>
      <w:r>
        <w:rPr>
          <w:rFonts w:hint="eastAsia" w:ascii="宋体" w:hAnsi="宋体" w:cs="宋体"/>
          <w:b/>
          <w:bCs/>
          <w:kern w:val="0"/>
          <w:sz w:val="24"/>
          <w:szCs w:val="24"/>
          <w:lang w:val="en-US" w:eastAsia="zh-CN"/>
        </w:rPr>
        <w:t>校园新能源汽车充电服务</w:t>
      </w:r>
      <w:r>
        <w:rPr>
          <w:rFonts w:hint="eastAsia" w:ascii="宋体" w:hAnsi="宋体" w:eastAsia="宋体" w:cs="宋体"/>
          <w:b/>
          <w:color w:val="000000" w:themeColor="text1"/>
          <w:sz w:val="24"/>
          <w:szCs w:val="24"/>
          <w:lang w:eastAsia="zh-CN"/>
          <w14:textFill>
            <w14:solidFill>
              <w14:schemeClr w14:val="tx1"/>
            </w14:solidFill>
          </w14:textFill>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二、项目编号：</w:t>
      </w:r>
      <w:r>
        <w:rPr>
          <w:rFonts w:hint="eastAsia" w:ascii="宋体" w:hAnsi="宋体" w:cs="宋体"/>
          <w:b/>
          <w:bCs/>
          <w:kern w:val="0"/>
          <w:sz w:val="24"/>
          <w:szCs w:val="24"/>
          <w:lang w:eastAsia="zh-CN"/>
        </w:rPr>
        <w:t>衢院招2024-25</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rPr>
      </w:pPr>
      <w:r>
        <w:rPr>
          <w:rFonts w:hint="eastAsia" w:ascii="宋体" w:hAnsi="宋体" w:eastAsia="宋体" w:cs="宋体"/>
          <w:b/>
          <w:kern w:val="0"/>
          <w:sz w:val="24"/>
          <w:szCs w:val="24"/>
        </w:rPr>
        <w:t>三、项目概况</w:t>
      </w:r>
    </w:p>
    <w:tbl>
      <w:tblPr>
        <w:tblStyle w:val="17"/>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250"/>
        <w:gridCol w:w="225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停车位数量</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服务期</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57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cs="宋体"/>
                <w:color w:val="000000"/>
                <w:kern w:val="0"/>
                <w:sz w:val="24"/>
                <w:lang w:val="en-US" w:eastAsia="zh-CN"/>
              </w:rPr>
              <w:t>新能源汽车</w:t>
            </w:r>
            <w:r>
              <w:rPr>
                <w:rFonts w:hint="eastAsia" w:ascii="宋体" w:hAnsi="宋体" w:eastAsia="宋体" w:cs="宋体"/>
                <w:color w:val="000000"/>
                <w:kern w:val="0"/>
                <w:sz w:val="24"/>
              </w:rPr>
              <w:t>充电</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服务</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default" w:ascii="宋体" w:hAnsi="宋体" w:eastAsia="宋体" w:cs="宋体"/>
                <w:color w:val="000000"/>
                <w:kern w:val="0"/>
                <w:sz w:val="24"/>
                <w:lang w:val="en-US" w:eastAsia="zh-CN"/>
              </w:rPr>
            </w:pPr>
            <w:bookmarkStart w:id="1" w:name="B12_简要技术要求、用途"/>
            <w:bookmarkEnd w:id="1"/>
            <w:r>
              <w:rPr>
                <w:rFonts w:hint="eastAsia" w:ascii="宋体" w:hAnsi="宋体" w:cs="宋体"/>
                <w:color w:val="000000"/>
                <w:kern w:val="0"/>
                <w:sz w:val="24"/>
                <w:lang w:val="en-US" w:eastAsia="zh-CN"/>
              </w:rPr>
              <w:t>20个</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2024.</w:t>
            </w:r>
            <w:r>
              <w:rPr>
                <w:rFonts w:hint="eastAsia" w:ascii="宋体" w:hAnsi="宋体" w:cs="宋体"/>
                <w:color w:val="000000"/>
                <w:kern w:val="0"/>
                <w:sz w:val="24"/>
                <w:highlight w:val="none"/>
                <w:lang w:val="en-US" w:eastAsia="zh-CN"/>
              </w:rPr>
              <w:t>9</w:t>
            </w:r>
            <w:r>
              <w:rPr>
                <w:rFonts w:hint="eastAsia" w:ascii="宋体" w:hAnsi="宋体" w:eastAsia="宋体" w:cs="宋体"/>
                <w:color w:val="000000"/>
                <w:kern w:val="0"/>
                <w:sz w:val="24"/>
                <w:highlight w:val="none"/>
                <w:lang w:val="en-US" w:eastAsia="zh-CN"/>
              </w:rPr>
              <w:t>.</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val="en-US" w:eastAsia="zh-CN"/>
              </w:rPr>
              <w:t>-</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highlight w:val="none"/>
                <w:lang w:val="en-US" w:eastAsia="zh-CN"/>
              </w:rPr>
              <w:t>20</w:t>
            </w:r>
            <w:r>
              <w:rPr>
                <w:rFonts w:hint="eastAsia" w:ascii="宋体" w:hAnsi="宋体" w:cs="宋体"/>
                <w:color w:val="000000"/>
                <w:kern w:val="0"/>
                <w:sz w:val="24"/>
                <w:highlight w:val="none"/>
                <w:lang w:val="en-US" w:eastAsia="zh-CN"/>
              </w:rPr>
              <w:t>27</w:t>
            </w:r>
            <w:r>
              <w:rPr>
                <w:rFonts w:hint="eastAsia" w:ascii="宋体" w:hAnsi="宋体" w:eastAsia="宋体" w:cs="宋体"/>
                <w:color w:val="000000"/>
                <w:kern w:val="0"/>
                <w:sz w:val="24"/>
                <w:highlight w:val="none"/>
                <w:lang w:val="en-US" w:eastAsia="zh-CN"/>
              </w:rPr>
              <w:t>.7.</w:t>
            </w:r>
            <w:r>
              <w:rPr>
                <w:rFonts w:hint="eastAsia" w:ascii="宋体" w:hAnsi="宋体" w:cs="宋体"/>
                <w:color w:val="000000"/>
                <w:kern w:val="0"/>
                <w:sz w:val="24"/>
                <w:highlight w:val="none"/>
                <w:lang w:val="en-US" w:eastAsia="zh-CN"/>
              </w:rPr>
              <w:t>31</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四、投标人资格要求</w:t>
      </w:r>
    </w:p>
    <w:p>
      <w:pPr>
        <w:pStyle w:val="14"/>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4"/>
        <w:spacing w:before="0" w:beforeAutospacing="0" w:after="0" w:afterAutospacing="0"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rPr>
        <w:t>2.落实政府采购政策需满足的资格要求：无</w:t>
      </w:r>
      <w:r>
        <w:rPr>
          <w:rFonts w:hint="eastAsia" w:cs="宋体"/>
          <w:color w:val="000000"/>
          <w:lang w:eastAsia="zh-CN"/>
        </w:rPr>
        <w:t>。</w:t>
      </w:r>
    </w:p>
    <w:p>
      <w:pPr>
        <w:pStyle w:val="14"/>
        <w:spacing w:before="0" w:beforeAutospacing="0" w:after="0" w:afterAutospacing="0"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rPr>
        <w:t>3.本项目的特定资格要求：无</w:t>
      </w:r>
      <w:r>
        <w:rPr>
          <w:rFonts w:hint="eastAsia" w:cs="宋体"/>
          <w:color w:val="000000"/>
          <w:lang w:eastAsia="zh-CN"/>
        </w:rPr>
        <w:t>。</w:t>
      </w:r>
    </w:p>
    <w:p>
      <w:pPr>
        <w:pStyle w:val="14"/>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五、招标文件获取</w:t>
      </w:r>
    </w:p>
    <w:p>
      <w:pPr>
        <w:pStyle w:val="14"/>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rPr>
        <w:t>本项目无须报名。</w:t>
      </w:r>
      <w:r>
        <w:rPr>
          <w:rFonts w:hint="eastAsia" w:ascii="宋体" w:hAnsi="宋体" w:eastAsia="宋体" w:cs="宋体"/>
          <w:color w:val="000000"/>
        </w:rPr>
        <w:t>供应商可在浙江政府采购网</w:t>
      </w:r>
      <w:r>
        <w:rPr>
          <w:rFonts w:hint="eastAsia" w:ascii="宋体" w:hAnsi="宋体" w:eastAsia="宋体" w:cs="宋体"/>
        </w:rPr>
        <w:t>（</w:t>
      </w:r>
      <w:r>
        <w:rPr>
          <w:rFonts w:hint="eastAsia" w:ascii="宋体" w:hAnsi="宋体" w:eastAsia="宋体" w:cs="宋体"/>
          <w:b/>
        </w:rPr>
        <w:t>https://zfcg.czt.zj.gov.cn/</w:t>
      </w:r>
      <w:r>
        <w:rPr>
          <w:rFonts w:hint="eastAsia" w:ascii="宋体" w:hAnsi="宋体" w:eastAsia="宋体" w:cs="宋体"/>
        </w:rPr>
        <w:t>）、衢州学院信息公开网（</w:t>
      </w:r>
      <w:r>
        <w:rPr>
          <w:rFonts w:hint="eastAsia" w:ascii="宋体" w:hAnsi="宋体" w:eastAsia="宋体" w:cs="宋体"/>
          <w:b/>
        </w:rPr>
        <w:t>https://xxgk.qzc.edu.cn</w:t>
      </w:r>
      <w:r>
        <w:rPr>
          <w:rFonts w:hint="eastAsia" w:ascii="宋体" w:hAnsi="宋体" w:eastAsia="宋体" w:cs="宋体"/>
        </w:rPr>
        <w:t>）和衢州学院招标采购网（</w:t>
      </w:r>
      <w:r>
        <w:rPr>
          <w:rFonts w:hint="eastAsia" w:ascii="宋体" w:hAnsi="宋体" w:eastAsia="宋体" w:cs="宋体"/>
          <w:b/>
        </w:rPr>
        <w:t>https://zbcg.qzc.edu.cn</w:t>
      </w:r>
      <w:r>
        <w:rPr>
          <w:rFonts w:hint="eastAsia" w:ascii="宋体" w:hAnsi="宋体" w:eastAsia="宋体" w:cs="宋体"/>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六、递交投标文件截止及开标时间</w:t>
      </w:r>
    </w:p>
    <w:p>
      <w:pPr>
        <w:pStyle w:val="19"/>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rFonts w:hint="eastAsia" w:ascii="宋体" w:hAnsi="宋体" w:eastAsia="宋体" w:cs="宋体"/>
          <w:color w:val="000000"/>
        </w:rPr>
      </w:pPr>
      <w:r>
        <w:rPr>
          <w:rFonts w:hint="eastAsia" w:ascii="宋体" w:hAnsi="宋体" w:eastAsia="宋体" w:cs="宋体"/>
          <w:color w:val="000000"/>
        </w:rPr>
        <w:t>递交投标文件截止及开标时间：</w:t>
      </w:r>
      <w:r>
        <w:rPr>
          <w:rFonts w:hint="eastAsia" w:ascii="宋体" w:hAnsi="宋体" w:eastAsia="宋体" w:cs="宋体"/>
          <w:b/>
          <w:bCs/>
          <w:color w:val="000000"/>
        </w:rPr>
        <w:t>202</w:t>
      </w:r>
      <w:r>
        <w:rPr>
          <w:rFonts w:hint="eastAsia" w:ascii="宋体" w:hAnsi="宋体" w:eastAsia="宋体" w:cs="宋体"/>
          <w:b/>
          <w:bCs/>
          <w:color w:val="000000"/>
          <w:lang w:val="en-US" w:eastAsia="zh-CN"/>
        </w:rPr>
        <w:t>4</w:t>
      </w:r>
      <w:r>
        <w:rPr>
          <w:rFonts w:hint="eastAsia" w:ascii="宋体" w:hAnsi="宋体" w:eastAsia="宋体" w:cs="宋体"/>
          <w:b/>
          <w:bCs/>
          <w:color w:val="000000"/>
          <w:kern w:val="2"/>
        </w:rPr>
        <w:t>年</w:t>
      </w:r>
      <w:r>
        <w:rPr>
          <w:rFonts w:hint="eastAsia" w:cs="宋体"/>
          <w:b/>
          <w:bCs/>
          <w:color w:val="000000"/>
          <w:kern w:val="2"/>
          <w:lang w:val="en-US" w:eastAsia="zh-CN"/>
        </w:rPr>
        <w:t>9</w:t>
      </w:r>
      <w:r>
        <w:rPr>
          <w:rFonts w:hint="eastAsia" w:ascii="宋体" w:hAnsi="宋体" w:eastAsia="宋体" w:cs="宋体"/>
          <w:b/>
          <w:bCs/>
          <w:color w:val="000000"/>
          <w:kern w:val="2"/>
        </w:rPr>
        <w:t>月</w:t>
      </w:r>
      <w:r>
        <w:rPr>
          <w:rFonts w:hint="eastAsia" w:cs="宋体"/>
          <w:b/>
          <w:bCs/>
          <w:color w:val="000000"/>
          <w:kern w:val="2"/>
          <w:lang w:val="en-US" w:eastAsia="zh-CN"/>
        </w:rPr>
        <w:t>10</w:t>
      </w:r>
      <w:r>
        <w:rPr>
          <w:rFonts w:hint="eastAsia" w:ascii="宋体" w:hAnsi="宋体" w:eastAsia="宋体" w:cs="宋体"/>
          <w:b/>
          <w:bCs/>
          <w:color w:val="000000"/>
          <w:kern w:val="2"/>
        </w:rPr>
        <w:t>日</w:t>
      </w:r>
      <w:r>
        <w:rPr>
          <w:rFonts w:hint="eastAsia" w:cs="宋体"/>
          <w:b/>
          <w:bCs/>
          <w:color w:val="000000"/>
          <w:kern w:val="2"/>
          <w:lang w:val="en-US" w:eastAsia="zh-CN"/>
        </w:rPr>
        <w:t>9</w:t>
      </w:r>
      <w:r>
        <w:rPr>
          <w:rFonts w:hint="eastAsia" w:ascii="宋体" w:hAnsi="宋体" w:eastAsia="宋体" w:cs="宋体"/>
          <w:b/>
          <w:bCs/>
          <w:color w:val="000000"/>
          <w:kern w:val="2"/>
        </w:rPr>
        <w:t>:00时</w:t>
      </w:r>
      <w:r>
        <w:rPr>
          <w:rFonts w:hint="eastAsia" w:ascii="宋体" w:hAnsi="宋体" w:eastAsia="宋体" w:cs="宋体"/>
          <w:color w:val="000000"/>
          <w:kern w:val="2"/>
        </w:rPr>
        <w:t>（</w:t>
      </w:r>
      <w:r>
        <w:rPr>
          <w:rFonts w:hint="eastAsia" w:ascii="宋体" w:hAnsi="宋体" w:eastAsia="宋体" w:cs="宋体"/>
          <w:color w:val="000000"/>
        </w:rPr>
        <w:t>北京时间）。届时请投标人的法定代表人或其授权代表按时参加开标会。逾期送达或不符合规定的投标文件恕不接受。</w:t>
      </w:r>
    </w:p>
    <w:p>
      <w:pPr>
        <w:pStyle w:val="19"/>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七、递交投标文件及开标地点</w:t>
      </w:r>
    </w:p>
    <w:p>
      <w:pPr>
        <w:pStyle w:val="19"/>
        <w:keepNext w:val="0"/>
        <w:keepLines w:val="0"/>
        <w:pageBreakBefore w:val="0"/>
        <w:kinsoku/>
        <w:wordWrap/>
        <w:overflowPunct/>
        <w:topLinePunct w:val="0"/>
        <w:autoSpaceDE/>
        <w:autoSpaceDN/>
        <w:bidi w:val="0"/>
        <w:adjustRightInd/>
        <w:spacing w:before="0" w:beforeAutospacing="0" w:after="0" w:afterAutospacing="0" w:line="500" w:lineRule="exact"/>
        <w:ind w:firstLine="480" w:firstLineChars="200"/>
        <w:jc w:val="both"/>
        <w:textAlignment w:val="auto"/>
        <w:rPr>
          <w:rFonts w:hint="eastAsia" w:ascii="宋体" w:hAnsi="宋体" w:eastAsia="宋体" w:cs="宋体"/>
          <w:color w:val="000000"/>
        </w:rPr>
      </w:pPr>
      <w:r>
        <w:rPr>
          <w:rFonts w:hint="eastAsia" w:ascii="宋体" w:hAnsi="宋体" w:eastAsia="宋体" w:cs="宋体"/>
          <w:color w:val="000000"/>
        </w:rPr>
        <w:t>递交投标文件及开标地点：</w:t>
      </w:r>
      <w:r>
        <w:rPr>
          <w:rFonts w:hint="eastAsia" w:ascii="宋体" w:hAnsi="宋体" w:eastAsia="宋体" w:cs="宋体"/>
          <w:b/>
          <w:bCs/>
          <w:color w:val="000000"/>
        </w:rPr>
        <w:t>衢州学院行政楼开标室（121室）。</w:t>
      </w:r>
    </w:p>
    <w:p>
      <w:pPr>
        <w:pStyle w:val="19"/>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kern w:val="0"/>
          <w:sz w:val="24"/>
          <w:szCs w:val="24"/>
        </w:rPr>
      </w:pPr>
      <w:r>
        <w:rPr>
          <w:rFonts w:hint="eastAsia" w:ascii="宋体" w:hAnsi="宋体" w:eastAsia="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kern w:val="0"/>
          <w:sz w:val="24"/>
          <w:szCs w:val="24"/>
        </w:rPr>
      </w:pPr>
      <w:r>
        <w:rPr>
          <w:rFonts w:hint="eastAsia" w:ascii="宋体" w:hAnsi="宋体" w:eastAsia="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十二、本公告发布网址：</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tabs>
          <w:tab w:val="left" w:pos="2366"/>
        </w:tabs>
        <w:spacing w:line="420" w:lineRule="exact"/>
        <w:ind w:firstLine="495"/>
        <w:rPr>
          <w:rFonts w:hint="eastAsia" w:ascii="宋体" w:hAnsi="宋体" w:eastAsia="宋体" w:cs="宋体"/>
          <w:b/>
          <w:bCs/>
          <w:sz w:val="24"/>
          <w:szCs w:val="24"/>
        </w:rPr>
      </w:pPr>
      <w:r>
        <w:rPr>
          <w:rFonts w:hint="eastAsia" w:ascii="宋体" w:hAnsi="宋体" w:eastAsia="宋体" w:cs="宋体"/>
          <w:b/>
          <w:bCs/>
          <w:sz w:val="24"/>
          <w:szCs w:val="24"/>
        </w:rPr>
        <w:t>十三、</w:t>
      </w:r>
      <w:r>
        <w:rPr>
          <w:rFonts w:hint="eastAsia" w:ascii="宋体" w:hAnsi="宋体" w:eastAsia="宋体" w:cs="宋体"/>
          <w:b/>
          <w:bCs/>
          <w:sz w:val="24"/>
        </w:rPr>
        <w:t>本招标文件由</w:t>
      </w:r>
      <w:r>
        <w:rPr>
          <w:rFonts w:hint="eastAsia" w:ascii="宋体" w:hAnsi="宋体" w:eastAsia="宋体" w:cs="宋体"/>
          <w:b/>
          <w:bCs/>
          <w:sz w:val="24"/>
          <w:szCs w:val="24"/>
        </w:rPr>
        <w:t>衢州学院实验室与资产管理处</w:t>
      </w:r>
      <w:r>
        <w:rPr>
          <w:rFonts w:hint="eastAsia" w:ascii="宋体" w:hAnsi="宋体" w:eastAsia="宋体" w:cs="宋体"/>
          <w:b/>
          <w:bCs/>
          <w:sz w:val="24"/>
        </w:rPr>
        <w:t>、后勤处负责解释。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spacing w:line="500" w:lineRule="exact"/>
        <w:ind w:firstLine="5400" w:firstLineChars="2250"/>
        <w:jc w:val="right"/>
        <w:rPr>
          <w:rFonts w:hint="eastAsia" w:ascii="宋体" w:hAnsi="宋体" w:eastAsia="宋体" w:cs="宋体"/>
          <w:bCs/>
          <w:sz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宋体" w:hAnsi="宋体" w:eastAsia="宋体" w:cs="宋体"/>
          <w:b/>
          <w:bCs/>
          <w:sz w:val="32"/>
        </w:rPr>
      </w:pPr>
      <w:r>
        <w:rPr>
          <w:rFonts w:hint="eastAsia" w:ascii="宋体" w:hAnsi="宋体" w:eastAsia="宋体" w:cs="宋体"/>
          <w:bCs/>
          <w:sz w:val="24"/>
          <w:lang w:eastAsia="zh-CN"/>
        </w:rPr>
        <w:t>2024年</w:t>
      </w:r>
      <w:r>
        <w:rPr>
          <w:rFonts w:hint="eastAsia" w:ascii="宋体" w:hAnsi="宋体" w:cs="宋体"/>
          <w:bCs/>
          <w:sz w:val="24"/>
          <w:lang w:val="en-US" w:eastAsia="zh-CN"/>
        </w:rPr>
        <w:t>8</w:t>
      </w:r>
      <w:r>
        <w:rPr>
          <w:rFonts w:hint="eastAsia" w:ascii="宋体" w:hAnsi="宋体" w:eastAsia="宋体" w:cs="宋体"/>
          <w:bCs/>
          <w:sz w:val="24"/>
          <w:lang w:eastAsia="zh-CN"/>
        </w:rPr>
        <w:t>月</w:t>
      </w:r>
      <w:r>
        <w:rPr>
          <w:rFonts w:hint="eastAsia" w:ascii="宋体" w:hAnsi="宋体" w:cs="宋体"/>
          <w:bCs/>
          <w:sz w:val="24"/>
          <w:lang w:val="en-US" w:eastAsia="zh-CN"/>
        </w:rPr>
        <w:t>19</w:t>
      </w:r>
      <w:r>
        <w:rPr>
          <w:rFonts w:hint="eastAsia" w:ascii="宋体" w:hAnsi="宋体" w:eastAsia="宋体" w:cs="宋体"/>
          <w:bCs/>
          <w:sz w:val="24"/>
          <w:lang w:eastAsia="zh-CN"/>
        </w:rPr>
        <w:t>日</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both"/>
        <w:rPr>
          <w:rFonts w:hint="eastAsia" w:ascii="宋体" w:hAnsi="宋体" w:eastAsia="宋体" w:cs="宋体"/>
          <w:b/>
          <w:bCs/>
          <w:sz w:val="32"/>
        </w:rPr>
      </w:pPr>
    </w:p>
    <w:p>
      <w:pPr>
        <w:spacing w:line="360" w:lineRule="auto"/>
        <w:jc w:val="center"/>
        <w:outlineLvl w:val="0"/>
        <w:rPr>
          <w:rStyle w:val="26"/>
          <w:rFonts w:hint="eastAsia" w:ascii="宋体" w:hAnsi="宋体" w:eastAsia="宋体" w:cs="宋体"/>
        </w:rPr>
      </w:pPr>
      <w:bookmarkStart w:id="2" w:name="_Toc17130"/>
    </w:p>
    <w:p>
      <w:pPr>
        <w:spacing w:line="360" w:lineRule="auto"/>
        <w:jc w:val="center"/>
        <w:outlineLvl w:val="0"/>
        <w:rPr>
          <w:rStyle w:val="26"/>
          <w:rFonts w:hint="eastAsia" w:ascii="宋体" w:hAnsi="宋体" w:eastAsia="宋体" w:cs="宋体"/>
        </w:rPr>
      </w:pPr>
    </w:p>
    <w:p>
      <w:pPr>
        <w:spacing w:line="360" w:lineRule="auto"/>
        <w:jc w:val="center"/>
        <w:outlineLvl w:val="0"/>
        <w:rPr>
          <w:rStyle w:val="26"/>
          <w:rFonts w:hint="eastAsia" w:ascii="宋体" w:hAnsi="宋体" w:eastAsia="宋体" w:cs="宋体"/>
        </w:rPr>
      </w:pPr>
    </w:p>
    <w:p>
      <w:pPr>
        <w:spacing w:line="360" w:lineRule="auto"/>
        <w:jc w:val="center"/>
        <w:outlineLvl w:val="0"/>
        <w:rPr>
          <w:rStyle w:val="26"/>
          <w:rFonts w:hint="eastAsia" w:ascii="宋体" w:hAnsi="宋体" w:eastAsia="宋体" w:cs="宋体"/>
        </w:rPr>
      </w:pPr>
    </w:p>
    <w:p>
      <w:pPr>
        <w:spacing w:line="360" w:lineRule="auto"/>
        <w:jc w:val="center"/>
        <w:outlineLvl w:val="0"/>
        <w:rPr>
          <w:rStyle w:val="26"/>
          <w:rFonts w:hint="eastAsia" w:ascii="宋体" w:hAnsi="宋体" w:eastAsia="宋体" w:cs="宋体"/>
        </w:rPr>
      </w:pPr>
    </w:p>
    <w:p>
      <w:pPr>
        <w:spacing w:line="360" w:lineRule="auto"/>
        <w:jc w:val="center"/>
        <w:outlineLvl w:val="0"/>
        <w:rPr>
          <w:rStyle w:val="26"/>
          <w:rFonts w:hint="eastAsia" w:ascii="宋体" w:hAnsi="宋体" w:eastAsia="宋体" w:cs="宋体"/>
        </w:rPr>
      </w:pPr>
      <w:r>
        <w:rPr>
          <w:rStyle w:val="26"/>
          <w:rFonts w:hint="eastAsia" w:ascii="宋体" w:hAnsi="宋体" w:eastAsia="宋体" w:cs="宋体"/>
        </w:rPr>
        <w:t>第二章   投标须知</w:t>
      </w:r>
      <w:bookmarkEnd w:id="2"/>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一、总则</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（一）适用范围</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（二）定义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1．“招标人”系组织本次招标的衢州学院。</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2．“投标人”系指向招标人提交投标文件的供应商。</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6．“▲”系指实质性要求条款。</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（三）招标方式</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（四）投标委托</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（五）合格的投标人</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1.响应招标文件要求，有提供服务能力，具备本招标文件中规定条件的供应商（详见第一章第四条“</w:t>
      </w:r>
      <w:r>
        <w:rPr>
          <w:rFonts w:hint="eastAsia" w:ascii="宋体" w:hAnsi="宋体" w:eastAsia="宋体" w:cs="宋体"/>
          <w:b/>
          <w:sz w:val="24"/>
          <w:szCs w:val="24"/>
        </w:rPr>
        <w:t>投标人的资格要求</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（六）投标费用</w:t>
      </w:r>
    </w:p>
    <w:p>
      <w:pPr>
        <w:autoSpaceDE w:val="0"/>
        <w:autoSpaceDN w:val="0"/>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（七）质疑和投诉</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宋体" w:hAnsi="宋体" w:eastAsia="宋体" w:cs="宋体"/>
          <w:bCs/>
          <w:sz w:val="24"/>
          <w:szCs w:val="24"/>
        </w:rPr>
        <w:t>15345707715</w:t>
      </w:r>
      <w:r>
        <w:rPr>
          <w:rFonts w:hint="eastAsia" w:ascii="宋体" w:hAnsi="宋体" w:eastAsia="宋体" w:cs="宋体"/>
          <w:sz w:val="24"/>
          <w:szCs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联系人：</w:t>
      </w:r>
      <w:r>
        <w:rPr>
          <w:rFonts w:hint="eastAsia" w:ascii="宋体" w:hAnsi="宋体" w:cs="宋体"/>
          <w:sz w:val="24"/>
          <w:szCs w:val="24"/>
          <w:lang w:eastAsia="zh-CN"/>
        </w:rPr>
        <w:t>黄女士</w:t>
      </w: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cs="宋体"/>
          <w:kern w:val="0"/>
          <w:sz w:val="24"/>
          <w:lang w:val="en-US" w:eastAsia="zh-CN"/>
        </w:rPr>
        <w:t>19957000570</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二、招标文件</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（一）招标文件的构成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本招标文件由以下部分组成：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1.招标公告；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2.投标须知；</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3.采购内容及要求；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4.合同主要条款；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5.评标办法及开标程序；</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6.应提交的有关材料格式范例。</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（二）招标文件的澄清与修改</w:t>
      </w:r>
    </w:p>
    <w:p>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1.投标人应认真阅读本招标文件，发现其中有误或有不合理要求的，投标人</w:t>
      </w:r>
      <w:r>
        <w:rPr>
          <w:rFonts w:hint="eastAsia" w:ascii="宋体" w:hAnsi="宋体" w:eastAsia="宋体" w:cs="宋体"/>
          <w:b/>
          <w:bCs/>
          <w:color w:val="000000"/>
          <w:kern w:val="0"/>
          <w:sz w:val="24"/>
          <w:szCs w:val="24"/>
        </w:rPr>
        <w:t>可以在报名截止日起七个工作日内</w:t>
      </w:r>
      <w:r>
        <w:rPr>
          <w:rFonts w:hint="eastAsia" w:ascii="宋体" w:hAnsi="宋体" w:eastAsia="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三、投标文件的编写</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（一）总体要求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（二）投标文件的组成</w:t>
      </w:r>
    </w:p>
    <w:p>
      <w:pPr>
        <w:spacing w:line="360" w:lineRule="auto"/>
        <w:ind w:firstLine="482" w:firstLineChars="200"/>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1.资格证明文件内容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65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652"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173"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资格证明文件封面</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1.投标函</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2.有效的营业执照副本复印件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3.法定代表人身份证明</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▲4.法定代表人授权委托书</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格式五</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5.法定代表人身份证复印件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6.被授权人身份证复印件</w:t>
            </w:r>
            <w:r>
              <w:rPr>
                <w:rFonts w:hint="eastAsia" w:ascii="宋体" w:hAnsi="宋体" w:eastAsia="宋体" w:cs="宋体"/>
                <w:b/>
                <w:sz w:val="24"/>
              </w:rPr>
              <w:t>（加盖公章，原件与投标文件一起递交）</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7.其它(投标人认为需投递的其他资格证明文件)</w:t>
            </w:r>
          </w:p>
        </w:tc>
        <w:tc>
          <w:tcPr>
            <w:tcW w:w="1652" w:type="dxa"/>
            <w:vAlign w:val="center"/>
          </w:tcPr>
          <w:p>
            <w:pPr>
              <w:autoSpaceDE w:val="0"/>
              <w:autoSpaceDN w:val="0"/>
              <w:adjustRightInd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格式十</w:t>
            </w:r>
            <w:r>
              <w:rPr>
                <w:rFonts w:hint="eastAsia" w:ascii="宋体" w:hAnsi="宋体" w:cs="宋体"/>
                <w:sz w:val="24"/>
                <w:lang w:val="en-US" w:eastAsia="zh-CN"/>
              </w:rPr>
              <w:t>五</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default" w:ascii="宋体" w:hAnsi="宋体" w:eastAsia="宋体" w:cs="宋体"/>
                <w:sz w:val="24"/>
                <w:szCs w:val="24"/>
                <w:lang w:val="en-US"/>
              </w:rPr>
            </w:pPr>
            <w:r>
              <w:rPr>
                <w:rFonts w:hint="eastAsia" w:ascii="宋体" w:hAnsi="宋体" w:eastAsia="宋体" w:cs="宋体"/>
                <w:sz w:val="24"/>
                <w:lang w:val="en-US" w:eastAsia="zh-CN"/>
              </w:rPr>
              <w:t>格式十</w:t>
            </w:r>
            <w:r>
              <w:rPr>
                <w:rFonts w:hint="eastAsia" w:ascii="宋体" w:hAnsi="宋体" w:cs="宋体"/>
                <w:sz w:val="24"/>
                <w:lang w:val="en-US" w:eastAsia="zh-CN"/>
              </w:rPr>
              <w:t>七</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2.商务技术文件内容</w:t>
      </w:r>
    </w:p>
    <w:tbl>
      <w:tblPr>
        <w:tblStyle w:val="17"/>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8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项目及审核内容</w:t>
            </w:r>
          </w:p>
        </w:tc>
        <w:tc>
          <w:tcPr>
            <w:tcW w:w="1287"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格式</w:t>
            </w:r>
          </w:p>
        </w:tc>
        <w:tc>
          <w:tcPr>
            <w:tcW w:w="1228"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87"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商务技术文件封面</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格式二</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1.投标人情况简介：投标人的管理和技术队伍、主要装备的情况及现状等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2.拟投入人员情况及相关证明材料（资质证书、认证证书、社保等证明材料）</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投标人</w:t>
            </w:r>
            <w:r>
              <w:rPr>
                <w:rFonts w:hint="eastAsia" w:ascii="宋体" w:hAnsi="宋体" w:eastAsia="宋体" w:cs="宋体"/>
                <w:bCs/>
                <w:color w:val="000000"/>
                <w:kern w:val="0"/>
                <w:sz w:val="24"/>
                <w:szCs w:val="24"/>
                <w:lang w:val="zh-CN"/>
              </w:rPr>
              <w:t>同类项目实施情况一览表</w:t>
            </w:r>
            <w:r>
              <w:rPr>
                <w:rFonts w:hint="eastAsia" w:ascii="宋体" w:hAnsi="宋体" w:eastAsia="宋体" w:cs="宋体"/>
                <w:color w:val="000000"/>
                <w:sz w:val="24"/>
                <w:szCs w:val="24"/>
              </w:rPr>
              <w:t>，须提供</w:t>
            </w:r>
            <w:r>
              <w:rPr>
                <w:rFonts w:hint="eastAsia" w:ascii="宋体" w:hAnsi="宋体" w:eastAsia="宋体" w:cs="宋体"/>
                <w:bCs/>
                <w:color w:val="FF0000"/>
                <w:kern w:val="0"/>
                <w:sz w:val="24"/>
                <w:szCs w:val="24"/>
                <w:lang w:val="zh-CN"/>
              </w:rPr>
              <w:t>20</w:t>
            </w:r>
            <w:r>
              <w:rPr>
                <w:rFonts w:hint="eastAsia" w:ascii="宋体" w:hAnsi="宋体" w:eastAsia="宋体" w:cs="宋体"/>
                <w:bCs/>
                <w:color w:val="FF0000"/>
                <w:kern w:val="0"/>
                <w:sz w:val="24"/>
                <w:szCs w:val="24"/>
                <w:lang w:val="en-US" w:eastAsia="zh-CN"/>
              </w:rPr>
              <w:t>21</w:t>
            </w:r>
            <w:r>
              <w:rPr>
                <w:rFonts w:hint="eastAsia" w:ascii="宋体" w:hAnsi="宋体" w:eastAsia="宋体" w:cs="宋体"/>
                <w:bCs/>
                <w:color w:val="FF0000"/>
                <w:kern w:val="0"/>
                <w:sz w:val="24"/>
                <w:szCs w:val="24"/>
                <w:lang w:val="zh-CN"/>
              </w:rPr>
              <w:t>年1月1日</w:t>
            </w:r>
            <w:r>
              <w:rPr>
                <w:rFonts w:hint="eastAsia" w:ascii="宋体" w:hAnsi="宋体" w:eastAsia="宋体" w:cs="宋体"/>
                <w:color w:val="000000"/>
                <w:sz w:val="24"/>
                <w:szCs w:val="24"/>
              </w:rPr>
              <w:t>至今</w:t>
            </w:r>
            <w:r>
              <w:rPr>
                <w:rFonts w:hint="eastAsia" w:ascii="宋体" w:hAnsi="宋体" w:eastAsia="宋体" w:cs="宋体"/>
                <w:bCs/>
                <w:color w:val="000000"/>
                <w:kern w:val="0"/>
                <w:sz w:val="24"/>
                <w:szCs w:val="24"/>
                <w:lang w:val="zh-CN"/>
              </w:rPr>
              <w:t>（以合同签订时间为准）</w:t>
            </w:r>
            <w:r>
              <w:rPr>
                <w:rFonts w:hint="eastAsia" w:ascii="宋体" w:hAnsi="宋体" w:eastAsia="宋体" w:cs="宋体"/>
                <w:color w:val="000000"/>
                <w:sz w:val="24"/>
                <w:szCs w:val="24"/>
              </w:rPr>
              <w:t>实施的同类项目有效合同原件的复印件（</w:t>
            </w:r>
            <w:r>
              <w:rPr>
                <w:rFonts w:hint="eastAsia" w:ascii="宋体" w:hAnsi="宋体" w:eastAsia="宋体" w:cs="宋体"/>
                <w:color w:val="FF0000"/>
                <w:sz w:val="24"/>
                <w:szCs w:val="24"/>
              </w:rPr>
              <w:t>有</w:t>
            </w:r>
            <w:r>
              <w:rPr>
                <w:rFonts w:hint="eastAsia" w:ascii="宋体" w:hAnsi="宋体" w:eastAsia="宋体" w:cs="宋体"/>
                <w:bCs/>
                <w:color w:val="FF0000"/>
                <w:kern w:val="0"/>
                <w:sz w:val="24"/>
                <w:szCs w:val="24"/>
                <w:lang w:val="zh-CN"/>
              </w:rPr>
              <w:t>效合同原件</w:t>
            </w:r>
            <w:r>
              <w:rPr>
                <w:rFonts w:hint="eastAsia" w:ascii="宋体" w:hAnsi="宋体" w:eastAsia="宋体" w:cs="宋体"/>
                <w:color w:val="FF0000"/>
                <w:sz w:val="24"/>
                <w:szCs w:val="24"/>
              </w:rPr>
              <w:t>带至现场备查</w:t>
            </w:r>
            <w:r>
              <w:rPr>
                <w:rFonts w:hint="eastAsia" w:ascii="宋体" w:hAnsi="宋体" w:eastAsia="宋体" w:cs="宋体"/>
                <w:color w:val="000000"/>
                <w:sz w:val="24"/>
                <w:szCs w:val="24"/>
              </w:rPr>
              <w:t>）</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格式</w:t>
            </w:r>
            <w:r>
              <w:rPr>
                <w:rFonts w:hint="eastAsia" w:ascii="宋体" w:hAnsi="宋体" w:cs="宋体"/>
                <w:color w:val="000000"/>
                <w:sz w:val="24"/>
                <w:szCs w:val="24"/>
                <w:lang w:val="en-US" w:eastAsia="zh-CN"/>
              </w:rPr>
              <w:t>六</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4.服务方案：</w:t>
            </w:r>
            <w:r>
              <w:rPr>
                <w:rFonts w:hint="eastAsia" w:ascii="宋体" w:hAnsi="宋体" w:cs="宋体"/>
                <w:color w:val="000000"/>
                <w:sz w:val="24"/>
                <w:szCs w:val="24"/>
                <w:lang w:val="en-US" w:eastAsia="zh-CN"/>
              </w:rPr>
              <w:t>新能源汽车充电</w:t>
            </w:r>
            <w:r>
              <w:rPr>
                <w:rFonts w:hint="eastAsia" w:ascii="宋体" w:hAnsi="宋体" w:eastAsia="宋体" w:cs="宋体"/>
                <w:color w:val="000000"/>
                <w:sz w:val="24"/>
                <w:szCs w:val="24"/>
              </w:rPr>
              <w:t>服务方案，服从学校的管理规定及要求的承诺情况、接受校内部门监管情况，售后服务情况等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000000"/>
                <w:sz w:val="24"/>
                <w:szCs w:val="24"/>
              </w:rPr>
              <w:t>质量保障和售后服务承诺书</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格式八</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针对本项目的场地及现有设施设备的施工改造提升方案</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7.</w:t>
            </w:r>
            <w:r>
              <w:rPr>
                <w:rFonts w:hint="eastAsia" w:ascii="宋体" w:hAnsi="宋体" w:eastAsia="宋体" w:cs="宋体"/>
                <w:color w:val="auto"/>
                <w:sz w:val="24"/>
              </w:rPr>
              <w:t>针对本项目的各类安全措施，如设备使用，用水、用电等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b/>
                <w:bCs/>
                <w:color w:val="000000"/>
                <w:sz w:val="24"/>
                <w:szCs w:val="24"/>
              </w:rPr>
              <w:t>.</w:t>
            </w:r>
            <w:r>
              <w:rPr>
                <w:rFonts w:hint="eastAsia" w:ascii="宋体" w:hAnsi="宋体" w:eastAsia="宋体" w:cs="宋体"/>
                <w:color w:val="auto"/>
                <w:sz w:val="24"/>
              </w:rPr>
              <w:t>交接方案：</w:t>
            </w:r>
            <w:r>
              <w:rPr>
                <w:rFonts w:hint="eastAsia" w:ascii="宋体" w:hAnsi="宋体" w:cs="宋体"/>
                <w:color w:val="auto"/>
                <w:sz w:val="24"/>
                <w:lang w:val="en-US" w:eastAsia="zh-CN"/>
              </w:rPr>
              <w:t>友好协商，文明交接</w:t>
            </w:r>
            <w:r>
              <w:rPr>
                <w:rFonts w:hint="eastAsia" w:ascii="宋体" w:hAnsi="宋体" w:eastAsia="宋体" w:cs="宋体"/>
                <w:color w:val="auto"/>
                <w:sz w:val="24"/>
              </w:rPr>
              <w:t>，包括文明施工和施工人员</w:t>
            </w:r>
            <w:r>
              <w:rPr>
                <w:rFonts w:hint="eastAsia" w:ascii="宋体" w:hAnsi="宋体" w:cs="宋体"/>
                <w:color w:val="auto"/>
                <w:sz w:val="24"/>
                <w:lang w:val="en-US" w:eastAsia="zh-CN"/>
              </w:rPr>
              <w:t>管</w:t>
            </w:r>
            <w:r>
              <w:rPr>
                <w:rFonts w:hint="eastAsia" w:ascii="宋体" w:hAnsi="宋体" w:eastAsia="宋体" w:cs="宋体"/>
                <w:color w:val="auto"/>
                <w:sz w:val="24"/>
              </w:rPr>
              <w:t>控等情况</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针对衢州学院的服务特点及保证服务质量的措施及承诺</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10.</w:t>
            </w:r>
            <w:r>
              <w:rPr>
                <w:rFonts w:hint="eastAsia" w:ascii="宋体" w:hAnsi="宋体" w:eastAsia="宋体" w:cs="宋体"/>
                <w:sz w:val="24"/>
              </w:rPr>
              <w:t>其它(投标人认为需投递的其他资格证明文件)</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3.报价文件内容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216"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报价文件封面</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▲1.开标一览表</w:t>
            </w:r>
          </w:p>
        </w:tc>
        <w:tc>
          <w:tcPr>
            <w:tcW w:w="1275"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七</w:t>
            </w:r>
          </w:p>
        </w:tc>
        <w:tc>
          <w:tcPr>
            <w:tcW w:w="121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hint="eastAsia" w:ascii="宋体" w:hAnsi="宋体" w:eastAsia="宋体" w:cs="宋体"/>
                <w:color w:val="000000"/>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highlight w:val="yellow"/>
              </w:rPr>
              <w:t>中小微企业、监狱或戒毒企业、残疾人福利性单位需提供相关声明函</w:t>
            </w:r>
            <w:r>
              <w:rPr>
                <w:rFonts w:hint="eastAsia" w:ascii="宋体" w:hAnsi="宋体" w:eastAsia="宋体" w:cs="宋体"/>
                <w:sz w:val="24"/>
              </w:rPr>
              <w:t>。</w:t>
            </w:r>
          </w:p>
        </w:tc>
        <w:tc>
          <w:tcPr>
            <w:tcW w:w="1275" w:type="dxa"/>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格式</w:t>
            </w:r>
            <w:r>
              <w:rPr>
                <w:rFonts w:hint="eastAsia" w:ascii="宋体" w:hAnsi="宋体" w:cs="宋体"/>
                <w:color w:val="000000"/>
                <w:sz w:val="24"/>
                <w:lang w:val="en-US" w:eastAsia="zh-CN"/>
              </w:rPr>
              <w:t>九</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格式十</w:t>
            </w:r>
            <w:r>
              <w:rPr>
                <w:rFonts w:hint="eastAsia" w:ascii="宋体" w:hAnsi="宋体" w:cs="宋体"/>
                <w:color w:val="000000"/>
                <w:sz w:val="24"/>
                <w:lang w:val="en-US" w:eastAsia="zh-CN"/>
              </w:rPr>
              <w:t>一</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.投标人认为有必要提供的其他资料</w:t>
            </w:r>
          </w:p>
        </w:tc>
        <w:tc>
          <w:tcPr>
            <w:tcW w:w="1275" w:type="dxa"/>
          </w:tcPr>
          <w:p>
            <w:pPr>
              <w:autoSpaceDE w:val="0"/>
              <w:autoSpaceDN w:val="0"/>
              <w:adjustRightInd w:val="0"/>
              <w:spacing w:line="360" w:lineRule="auto"/>
              <w:jc w:val="center"/>
              <w:rPr>
                <w:rFonts w:hint="eastAsia" w:ascii="宋体" w:hAnsi="宋体" w:eastAsia="宋体" w:cs="宋体"/>
                <w:sz w:val="24"/>
                <w:szCs w:val="24"/>
              </w:rPr>
            </w:pPr>
          </w:p>
        </w:tc>
        <w:tc>
          <w:tcPr>
            <w:tcW w:w="1216"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r>
    </w:tbl>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（三）投标文件的语言及计量</w:t>
      </w:r>
    </w:p>
    <w:p>
      <w:pPr>
        <w:autoSpaceDE w:val="0"/>
        <w:autoSpaceDN w:val="0"/>
        <w:adjustRightIn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1.投标文件及投标人与采购有关的来往通知、函件和文件均应使用中文。</w:t>
      </w:r>
    </w:p>
    <w:p>
      <w:pPr>
        <w:spacing w:line="360" w:lineRule="auto"/>
        <w:ind w:firstLine="479" w:firstLineChars="199"/>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）投标有效期</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）投标文件的签署及规定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投标人应按本须知的相关要求准备投标文件，</w:t>
      </w:r>
      <w:r>
        <w:rPr>
          <w:rFonts w:hint="eastAsia" w:ascii="宋体" w:hAnsi="宋体" w:eastAsia="宋体" w:cs="宋体"/>
          <w:bCs/>
          <w:sz w:val="24"/>
          <w:szCs w:val="24"/>
        </w:rPr>
        <w:t>每套文件须清楚地标明“资格证明文件”、“商务技术文件”和“正本”、“副本”。</w:t>
      </w:r>
      <w:r>
        <w:rPr>
          <w:rFonts w:hint="eastAsia" w:ascii="宋体" w:hAnsi="宋体" w:eastAsia="宋体" w:cs="宋体"/>
          <w:sz w:val="24"/>
          <w:szCs w:val="24"/>
        </w:rPr>
        <w:t>若正本和副本有差异，以正本为准。</w:t>
      </w:r>
    </w:p>
    <w:p>
      <w:pPr>
        <w:autoSpaceDE w:val="0"/>
        <w:autoSpaceDN w:val="0"/>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eastAsia="宋体" w:cs="宋体"/>
          <w:b/>
          <w:bCs/>
          <w:sz w:val="24"/>
          <w:szCs w:val="24"/>
        </w:rPr>
        <w:t>文件的副本可采用正本的复印件。</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投标文件封面须加盖投标人单位公章。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电报、电话、传真形式的投标文件概不接受。</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）投标文件的密封和标记</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szCs w:val="24"/>
        </w:rPr>
        <w:t>▲</w:t>
      </w:r>
      <w:r>
        <w:rPr>
          <w:rFonts w:hint="eastAsia" w:ascii="宋体" w:hAnsi="宋体" w:eastAsia="宋体" w:cs="宋体"/>
          <w:b/>
          <w:sz w:val="24"/>
        </w:rPr>
        <w:t>1.投标文件应分为资格证明文件、商务技术文件和报价文件三部分，每部分须单独密封并加盖投标人单位公章，且法定代表人(</w:t>
      </w:r>
      <w:r>
        <w:rPr>
          <w:rFonts w:hint="eastAsia" w:ascii="宋体" w:hAnsi="宋体" w:eastAsia="宋体" w:cs="宋体"/>
          <w:b/>
          <w:sz w:val="24"/>
          <w:lang w:val="en-US" w:eastAsia="zh-CN"/>
        </w:rPr>
        <w:t>或</w:t>
      </w:r>
      <w:r>
        <w:rPr>
          <w:rFonts w:hint="eastAsia" w:ascii="宋体" w:hAnsi="宋体" w:eastAsia="宋体" w:cs="宋体"/>
          <w:b/>
          <w:sz w:val="24"/>
        </w:rPr>
        <w:t>全权代表)须签名或</w:t>
      </w:r>
      <w:r>
        <w:rPr>
          <w:rFonts w:hint="eastAsia" w:ascii="宋体" w:hAnsi="宋体" w:eastAsia="宋体" w:cs="宋体"/>
          <w:b/>
          <w:sz w:val="24"/>
          <w:lang w:val="en-US" w:eastAsia="zh-CN"/>
        </w:rPr>
        <w:t>签</w:t>
      </w:r>
      <w:r>
        <w:rPr>
          <w:rFonts w:hint="eastAsia" w:ascii="宋体" w:hAnsi="宋体" w:eastAsia="宋体" w:cs="宋体"/>
          <w:b/>
          <w:sz w:val="24"/>
        </w:rPr>
        <w:t>章。</w:t>
      </w:r>
    </w:p>
    <w:p>
      <w:pPr>
        <w:autoSpaceDE w:val="0"/>
        <w:autoSpaceDN w:val="0"/>
        <w:adjustRightIn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2.每包文件的封面均应注明：项目名称、项目编号、投标人名称、投标文件名称（即资格证明文件、技术文件、商务文件）。</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四、投标文件的递交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（一）递交投标文件截止时间及地点</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1. 截止时间及地点见招标公告（招标文件第一章）；</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▲2.递交投标文件时还需递交投标人的授权代表身份证原件。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（二）投标文件的修改和撤销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2.投标人修改后的投标文件应按原来的规定编制、密封、标记和递交。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3.在递交投标文件截止期之后，投标人不得对其投标文件做任何修改。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4.递交投标文件截止期后，投标人不得撤回其投标文件。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（三）无效的投标文件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发生下列情况之一的投标文件将被视为无效：</w:t>
      </w:r>
    </w:p>
    <w:p>
      <w:pPr>
        <w:spacing w:line="360" w:lineRule="auto"/>
        <w:ind w:firstLine="480" w:firstLineChars="200"/>
        <w:rPr>
          <w:rFonts w:hint="eastAsia" w:ascii="宋体" w:hAnsi="宋体" w:eastAsia="宋体" w:cs="宋体"/>
          <w:sz w:val="24"/>
          <w:szCs w:val="24"/>
        </w:rPr>
      </w:pPr>
      <w:bookmarkStart w:id="3" w:name="串通投标的情形"/>
      <w:bookmarkStart w:id="4" w:name="_Toc359592368"/>
      <w:bookmarkStart w:id="5" w:name="_Toc359856805"/>
      <w:r>
        <w:rPr>
          <w:rFonts w:hint="eastAsia" w:ascii="宋体" w:hAnsi="宋体" w:eastAsia="宋体" w:cs="宋体"/>
          <w:sz w:val="24"/>
          <w:szCs w:val="24"/>
        </w:rPr>
        <w:t>1.开标截止时间以后送达的投标文件；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2.仅以非纸制文本形式投标的投标文件；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3.不具备招标文件规定资格要求；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4.由于包装不妥等导致投标文件在送交途中严重破损或失散的；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5.活页装订（是指用卡条、抽杆夹、订书机等形式装订，使标书可以拆卸或者在翻动过程中易脱落的一种装订方式）的投标文件；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6.存在“▲”条款的负偏离或不满足要求的；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7.投标有效期、交货时间、质保期条款不满足招标文件要求的；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8.资格或技术文件中包含商务报价的；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9.投标人的报价明显高于其市场价或低于成本价的，该投标人不能合理说明原因并提供证明材料的；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10.投标文件关键内容字迹模糊、无法辨认的；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11.报价超出采购预算价的；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15.不符合法律、法规和招标文件规定的其他实质性要求的。</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（四）串通投标的情形</w:t>
      </w:r>
      <w:bookmarkEnd w:id="3"/>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（五）</w:t>
      </w:r>
      <w:bookmarkStart w:id="6" w:name="废标的情形"/>
      <w:r>
        <w:rPr>
          <w:rFonts w:hint="eastAsia" w:ascii="宋体" w:hAnsi="宋体" w:eastAsia="宋体" w:cs="宋体"/>
          <w:b/>
          <w:sz w:val="24"/>
          <w:szCs w:val="24"/>
        </w:rPr>
        <w:t>废标的情形</w:t>
      </w:r>
      <w:bookmarkEnd w:id="4"/>
      <w:bookmarkEnd w:id="5"/>
      <w:bookmarkEnd w:id="6"/>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采购中，出现下列情形之一的，应予废标，废标后，采购人将废标理由通知所有投标人：</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1.符合专业条件的投标人或对招标文件作实质性响应的投标人不足三家的；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3.投标人的报价均超过了采购预算（最高限价），采购人不能支付的；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五、开标</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（一）开标</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招标人在规定的日期、时间和地点组织招标会。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招标人按资格证明文件、商务技术文件的顺序当众检验、拆封，先评审资格证明文件，若资格不具备，即中止其参与投标，其商务技术文件不拆封。</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（二）评定原则：</w:t>
      </w:r>
      <w:r>
        <w:rPr>
          <w:rFonts w:hint="eastAsia" w:ascii="宋体" w:hAnsi="宋体" w:eastAsia="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（四）开标结果：评标委员会按招标文件规定的评定办法评定中标候选人。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（七）履约保证金</w:t>
      </w:r>
    </w:p>
    <w:p>
      <w:pPr>
        <w:autoSpaceDE w:val="0"/>
        <w:autoSpaceDN w:val="0"/>
        <w:adjustRightInd w:val="0"/>
        <w:spacing w:line="360" w:lineRule="auto"/>
        <w:ind w:firstLine="472" w:firstLineChars="196"/>
        <w:outlineLvl w:val="1"/>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本项目无需提供履约保证金。</w:t>
      </w:r>
    </w:p>
    <w:p>
      <w:pPr>
        <w:autoSpaceDE w:val="0"/>
        <w:autoSpaceDN w:val="0"/>
        <w:adjustRightIn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六、合同授予</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w:t>
      </w:r>
      <w:r>
        <w:rPr>
          <w:rFonts w:hint="eastAsia" w:ascii="宋体" w:hAnsi="宋体" w:eastAsia="宋体" w:cs="宋体"/>
          <w:bCs/>
          <w:sz w:val="24"/>
          <w:szCs w:val="24"/>
        </w:rPr>
        <w:t>中标人接到中标通知书后在规定的时间内与招标人签订合同。</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w:t>
      </w:r>
      <w:r>
        <w:rPr>
          <w:rFonts w:hint="eastAsia" w:ascii="宋体" w:hAnsi="宋体" w:eastAsia="宋体" w:cs="宋体"/>
          <w:bCs/>
          <w:sz w:val="24"/>
          <w:szCs w:val="24"/>
        </w:rPr>
        <w:t>中标人拖延、拒签合同的，将被取消中标资格。</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val="en-US" w:eastAsia="zh-CN"/>
        </w:rPr>
        <w:t>.</w:t>
      </w:r>
      <w:r>
        <w:rPr>
          <w:rFonts w:hint="eastAsia" w:ascii="宋体" w:hAnsi="宋体" w:eastAsia="宋体" w:cs="宋体"/>
          <w:bCs/>
          <w:sz w:val="24"/>
          <w:szCs w:val="24"/>
        </w:rPr>
        <w:t>招标文件、澄清文件、投标文件等，均为签订合同的依据。</w:t>
      </w:r>
    </w:p>
    <w:p>
      <w:pPr>
        <w:spacing w:line="360" w:lineRule="auto"/>
        <w:ind w:firstLine="472" w:firstLineChars="196"/>
        <w:outlineLvl w:val="0"/>
        <w:rPr>
          <w:rFonts w:hint="eastAsia" w:ascii="宋体" w:hAnsi="宋体" w:eastAsia="宋体" w:cs="宋体"/>
          <w:b/>
          <w:kern w:val="0"/>
          <w:sz w:val="24"/>
          <w:szCs w:val="24"/>
        </w:rPr>
      </w:pPr>
      <w:bookmarkStart w:id="7" w:name="_Toc27356"/>
      <w:r>
        <w:rPr>
          <w:rFonts w:hint="eastAsia" w:ascii="宋体" w:hAnsi="宋体" w:eastAsia="宋体" w:cs="宋体"/>
          <w:b/>
          <w:kern w:val="0"/>
          <w:sz w:val="24"/>
          <w:szCs w:val="24"/>
        </w:rPr>
        <w:t>七、服务要求</w:t>
      </w:r>
      <w:bookmarkEnd w:id="7"/>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如发生所提供服务与投标时承诺的不符，采购人有权终止合同，拒绝支付合同款，由此产生的一切责任和后果由投标人承担。</w:t>
      </w:r>
    </w:p>
    <w:p>
      <w:pPr>
        <w:spacing w:line="360" w:lineRule="auto"/>
        <w:ind w:firstLine="470" w:firstLineChars="195"/>
        <w:rPr>
          <w:rFonts w:hint="eastAsia" w:ascii="宋体" w:hAnsi="宋体" w:eastAsia="宋体" w:cs="宋体"/>
          <w:b/>
          <w:sz w:val="24"/>
          <w:szCs w:val="24"/>
        </w:rPr>
      </w:pPr>
      <w:r>
        <w:rPr>
          <w:rFonts w:hint="eastAsia" w:ascii="宋体" w:hAnsi="宋体" w:eastAsia="宋体" w:cs="宋体"/>
          <w:b/>
          <w:sz w:val="24"/>
          <w:szCs w:val="24"/>
        </w:rPr>
        <w:t>八、解释权：</w:t>
      </w:r>
      <w:r>
        <w:rPr>
          <w:rFonts w:hint="eastAsia" w:ascii="宋体" w:hAnsi="宋体" w:eastAsia="宋体" w:cs="宋体"/>
          <w:sz w:val="24"/>
          <w:szCs w:val="24"/>
        </w:rPr>
        <w:t>本招标文件</w:t>
      </w:r>
      <w:r>
        <w:rPr>
          <w:rFonts w:hint="eastAsia" w:ascii="宋体" w:hAnsi="宋体" w:cs="宋体"/>
          <w:sz w:val="24"/>
          <w:szCs w:val="24"/>
          <w:lang w:val="en-US" w:eastAsia="zh-CN"/>
        </w:rPr>
        <w:t>参照</w:t>
      </w:r>
      <w:r>
        <w:rPr>
          <w:rFonts w:hint="eastAsia" w:ascii="宋体" w:hAnsi="宋体" w:eastAsia="宋体" w:cs="宋体"/>
          <w:sz w:val="24"/>
          <w:szCs w:val="24"/>
        </w:rPr>
        <w:t>《政府采购法》及有关规定编制，解释权属招标人。</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九、通讯地址：</w:t>
      </w:r>
      <w:r>
        <w:rPr>
          <w:rFonts w:hint="eastAsia" w:ascii="宋体" w:hAnsi="宋体" w:eastAsia="宋体" w:cs="宋体"/>
          <w:sz w:val="24"/>
          <w:szCs w:val="24"/>
        </w:rPr>
        <w:t>所有与招标有关的函电请按下面联系。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通讯地址：浙江省衢州市九华北大道78号衢州学院，邮编：324000。</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项目采购</w:t>
      </w:r>
      <w:r>
        <w:rPr>
          <w:rFonts w:hint="eastAsia" w:ascii="宋体" w:hAnsi="宋体" w:eastAsia="宋体" w:cs="宋体"/>
          <w:color w:val="000000"/>
          <w:sz w:val="24"/>
        </w:rPr>
        <w:t>联系人：周老师，电话：0570-8015042，18957039862。</w:t>
      </w:r>
    </w:p>
    <w:p>
      <w:pPr>
        <w:spacing w:line="360" w:lineRule="auto"/>
        <w:ind w:left="456" w:leftChars="228" w:firstLine="12" w:firstLineChars="5"/>
        <w:rPr>
          <w:rFonts w:hint="eastAsia" w:ascii="宋体" w:hAnsi="宋体" w:eastAsia="宋体" w:cs="宋体"/>
          <w:color w:val="000000"/>
          <w:kern w:val="0"/>
          <w:sz w:val="24"/>
          <w:szCs w:val="24"/>
        </w:rPr>
      </w:pPr>
      <w:r>
        <w:rPr>
          <w:rFonts w:hint="eastAsia" w:ascii="宋体" w:hAnsi="宋体" w:eastAsia="宋体" w:cs="宋体"/>
          <w:color w:val="000000"/>
          <w:kern w:val="0"/>
          <w:sz w:val="24"/>
        </w:rPr>
        <w:t>质疑答复联系人：</w:t>
      </w:r>
      <w:r>
        <w:rPr>
          <w:rFonts w:hint="eastAsia" w:ascii="宋体" w:hAnsi="宋体" w:eastAsia="宋体" w:cs="宋体"/>
          <w:color w:val="000000"/>
          <w:kern w:val="0"/>
          <w:sz w:val="24"/>
          <w:lang w:val="en-US" w:eastAsia="zh-CN"/>
        </w:rPr>
        <w:t>郑老师</w:t>
      </w:r>
      <w:r>
        <w:rPr>
          <w:rFonts w:hint="eastAsia" w:ascii="宋体" w:hAnsi="宋体" w:eastAsia="宋体" w:cs="宋体"/>
          <w:color w:val="000000"/>
          <w:kern w:val="0"/>
          <w:sz w:val="24"/>
        </w:rPr>
        <w:t>；电话：</w:t>
      </w:r>
      <w:r>
        <w:rPr>
          <w:rFonts w:hint="eastAsia" w:ascii="宋体" w:hAnsi="宋体" w:eastAsia="宋体" w:cs="宋体"/>
          <w:color w:val="000000"/>
          <w:kern w:val="0"/>
          <w:sz w:val="24"/>
          <w:lang w:val="en-US" w:eastAsia="zh-CN"/>
        </w:rPr>
        <w:t>0570-8015028，</w:t>
      </w:r>
      <w:r>
        <w:rPr>
          <w:rFonts w:hint="eastAsia" w:ascii="宋体" w:hAnsi="宋体" w:eastAsia="宋体" w:cs="宋体"/>
          <w:sz w:val="24"/>
        </w:rPr>
        <w:t>15345707715</w:t>
      </w:r>
      <w:r>
        <w:rPr>
          <w:rFonts w:hint="eastAsia" w:ascii="宋体" w:hAnsi="宋体" w:eastAsia="宋体" w:cs="宋体"/>
          <w:color w:val="000000"/>
          <w:kern w:val="0"/>
          <w:sz w:val="24"/>
        </w:rPr>
        <w:t>。</w:t>
      </w:r>
    </w:p>
    <w:p>
      <w:pPr>
        <w:spacing w:line="360" w:lineRule="auto"/>
        <w:ind w:left="456" w:leftChars="228" w:firstLine="12" w:firstLineChars="5"/>
        <w:rPr>
          <w:rFonts w:hint="eastAsia" w:ascii="宋体" w:hAnsi="宋体" w:eastAsia="宋体" w:cs="宋体"/>
          <w:b/>
          <w:color w:val="000000"/>
          <w:sz w:val="32"/>
          <w:szCs w:val="32"/>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bookmarkStart w:id="8" w:name="_Toc27027"/>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spacing w:line="360" w:lineRule="auto"/>
        <w:jc w:val="center"/>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rPr>
          <w:rFonts w:hint="eastAsia"/>
        </w:rPr>
      </w:pPr>
    </w:p>
    <w:p>
      <w:pPr>
        <w:spacing w:line="360" w:lineRule="auto"/>
        <w:jc w:val="center"/>
        <w:rPr>
          <w:rFonts w:hint="eastAsia" w:ascii="宋体" w:hAnsi="宋体" w:eastAsia="宋体" w:cs="宋体"/>
          <w:b/>
          <w:bCs/>
          <w:color w:val="000000"/>
          <w:sz w:val="24"/>
        </w:rPr>
      </w:pPr>
      <w:r>
        <w:rPr>
          <w:rFonts w:hint="eastAsia" w:ascii="宋体" w:hAnsi="宋体" w:eastAsia="宋体" w:cs="宋体"/>
          <w:b/>
          <w:color w:val="000000"/>
          <w:sz w:val="32"/>
          <w:szCs w:val="32"/>
        </w:rPr>
        <w:t>第三章 采购内容及要求</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标注“▲”号的为不可负偏离条款，对这些条款的任何负偏离为无效投标</w:t>
      </w:r>
      <w:r>
        <w:rPr>
          <w:rFonts w:hint="eastAsia" w:ascii="宋体" w:hAnsi="宋体" w:eastAsia="宋体" w:cs="宋体"/>
          <w:bCs/>
          <w:color w:val="000000"/>
          <w:sz w:val="24"/>
        </w:rPr>
        <w:t>。</w:t>
      </w:r>
    </w:p>
    <w:p>
      <w:pPr>
        <w:spacing w:line="400" w:lineRule="exact"/>
        <w:ind w:firstLine="495"/>
        <w:rPr>
          <w:rFonts w:hint="eastAsia" w:ascii="宋体" w:hAnsi="宋体" w:eastAsia="宋体" w:cs="宋体"/>
          <w:b/>
          <w:sz w:val="24"/>
        </w:rPr>
      </w:pPr>
      <w:r>
        <w:rPr>
          <w:rFonts w:hint="eastAsia" w:ascii="宋体" w:hAnsi="宋体" w:eastAsia="宋体" w:cs="宋体"/>
          <w:b/>
          <w:sz w:val="24"/>
        </w:rPr>
        <w:t>一、招标项目概况</w:t>
      </w:r>
    </w:p>
    <w:p>
      <w:pPr>
        <w:spacing w:line="360" w:lineRule="auto"/>
        <w:ind w:firstLine="480" w:firstLineChars="200"/>
        <w:rPr>
          <w:rFonts w:hint="eastAsia" w:ascii="宋体" w:hAnsi="宋体" w:eastAsia="宋体" w:cs="宋体"/>
          <w:color w:val="FF0000"/>
          <w:kern w:val="0"/>
          <w:sz w:val="24"/>
        </w:rPr>
      </w:pPr>
      <w:r>
        <w:rPr>
          <w:rFonts w:hint="eastAsia" w:ascii="宋体" w:hAnsi="宋体" w:eastAsia="宋体" w:cs="宋体"/>
          <w:kern w:val="0"/>
          <w:sz w:val="24"/>
        </w:rPr>
        <w:t>本次招标</w:t>
      </w:r>
      <w:r>
        <w:rPr>
          <w:rFonts w:hint="eastAsia" w:ascii="宋体" w:hAnsi="宋体" w:cs="宋体"/>
          <w:kern w:val="0"/>
          <w:sz w:val="24"/>
          <w:lang w:val="en-US" w:eastAsia="zh-CN"/>
        </w:rPr>
        <w:t>校园内</w:t>
      </w:r>
      <w:r>
        <w:rPr>
          <w:rFonts w:hint="eastAsia" w:ascii="宋体" w:hAnsi="宋体" w:cs="宋体"/>
          <w:color w:val="auto"/>
          <w:sz w:val="24"/>
          <w:lang w:val="en-US" w:eastAsia="zh-CN"/>
        </w:rPr>
        <w:t>20个</w:t>
      </w:r>
      <w:r>
        <w:rPr>
          <w:rFonts w:hint="eastAsia" w:ascii="宋体" w:hAnsi="宋体" w:cs="宋体"/>
          <w:color w:val="auto"/>
          <w:kern w:val="0"/>
          <w:sz w:val="24"/>
          <w:lang w:eastAsia="zh-CN"/>
        </w:rPr>
        <w:t>新能源汽车</w:t>
      </w:r>
      <w:r>
        <w:rPr>
          <w:rFonts w:hint="eastAsia" w:ascii="宋体" w:hAnsi="宋体" w:cs="宋体"/>
          <w:color w:val="auto"/>
          <w:sz w:val="24"/>
          <w:lang w:val="en-US" w:eastAsia="zh-CN"/>
        </w:rPr>
        <w:t>充电位</w:t>
      </w:r>
      <w:r>
        <w:rPr>
          <w:rFonts w:hint="eastAsia" w:ascii="宋体" w:hAnsi="宋体" w:cs="宋体"/>
          <w:color w:val="auto"/>
          <w:sz w:val="24"/>
          <w:lang w:val="en-US" w:eastAsia="zh-Hans"/>
        </w:rPr>
        <w:t>的</w:t>
      </w:r>
      <w:r>
        <w:rPr>
          <w:rFonts w:hint="eastAsia" w:ascii="宋体" w:hAnsi="宋体" w:cs="宋体"/>
          <w:color w:val="auto"/>
          <w:kern w:val="0"/>
          <w:sz w:val="24"/>
          <w:lang w:val="en-US" w:eastAsia="zh-CN"/>
        </w:rPr>
        <w:t>充电</w:t>
      </w:r>
      <w:r>
        <w:rPr>
          <w:rFonts w:hint="eastAsia" w:ascii="宋体" w:hAnsi="宋体" w:eastAsia="宋体" w:cs="宋体"/>
          <w:color w:val="auto"/>
          <w:kern w:val="0"/>
          <w:sz w:val="24"/>
        </w:rPr>
        <w:t>服务。</w:t>
      </w:r>
      <w:r>
        <w:rPr>
          <w:rFonts w:hint="eastAsia" w:ascii="宋体" w:hAnsi="宋体" w:cs="宋体"/>
          <w:color w:val="auto"/>
          <w:kern w:val="0"/>
          <w:sz w:val="24"/>
          <w:lang w:eastAsia="zh-CN"/>
        </w:rPr>
        <w:t>新能源汽车</w:t>
      </w:r>
      <w:r>
        <w:rPr>
          <w:rFonts w:hint="eastAsia" w:ascii="宋体" w:hAnsi="宋体" w:cs="宋体"/>
          <w:color w:val="auto"/>
          <w:sz w:val="24"/>
          <w:lang w:val="en-US" w:eastAsia="zh-CN"/>
        </w:rPr>
        <w:t>充电位</w:t>
      </w:r>
      <w:r>
        <w:rPr>
          <w:rFonts w:hint="eastAsia" w:ascii="宋体" w:hAnsi="宋体" w:cs="宋体"/>
          <w:color w:val="auto"/>
          <w:kern w:val="0"/>
          <w:sz w:val="24"/>
          <w:lang w:val="en-US" w:eastAsia="zh-CN"/>
        </w:rPr>
        <w:t>位于校园内机动车停车位</w:t>
      </w:r>
      <w:r>
        <w:rPr>
          <w:rFonts w:hint="eastAsia" w:ascii="宋体" w:hAnsi="宋体" w:cs="宋体"/>
          <w:color w:val="auto"/>
          <w:sz w:val="24"/>
          <w:lang w:val="en-US" w:eastAsia="zh-CN"/>
        </w:rPr>
        <w:t>（9号学生公寓北侧停车场6个、大会堂南侧停车场4个、实训中心南侧停车场4个、田径场东侧停车场6个）。</w:t>
      </w:r>
    </w:p>
    <w:p>
      <w:pPr>
        <w:numPr>
          <w:ilvl w:val="0"/>
          <w:numId w:val="1"/>
        </w:num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项目要求</w:t>
      </w:r>
    </w:p>
    <w:p>
      <w:pPr>
        <w:spacing w:line="360" w:lineRule="auto"/>
        <w:ind w:firstLine="482" w:firstLineChars="200"/>
        <w:rPr>
          <w:rFonts w:hint="default" w:ascii="宋体" w:hAnsi="宋体" w:cs="宋体"/>
          <w:b/>
          <w:bCs/>
          <w:kern w:val="0"/>
          <w:sz w:val="24"/>
          <w:lang w:val="en-US" w:eastAsia="zh-CN"/>
        </w:rPr>
      </w:pPr>
      <w:r>
        <w:rPr>
          <w:rFonts w:hint="eastAsia" w:ascii="宋体" w:hAnsi="宋体" w:cs="宋体"/>
          <w:b/>
          <w:bCs/>
          <w:kern w:val="0"/>
          <w:sz w:val="24"/>
          <w:lang w:eastAsia="zh-CN"/>
        </w:rPr>
        <w:t>（</w:t>
      </w:r>
      <w:r>
        <w:rPr>
          <w:rFonts w:hint="eastAsia" w:ascii="宋体" w:hAnsi="宋体" w:cs="宋体"/>
          <w:b/>
          <w:bCs/>
          <w:kern w:val="0"/>
          <w:sz w:val="24"/>
          <w:lang w:val="en-US" w:eastAsia="zh-CN"/>
        </w:rPr>
        <w:t>一</w:t>
      </w:r>
      <w:r>
        <w:rPr>
          <w:rFonts w:hint="eastAsia" w:ascii="宋体" w:hAnsi="宋体" w:cs="宋体"/>
          <w:b/>
          <w:bCs/>
          <w:kern w:val="0"/>
          <w:sz w:val="24"/>
          <w:lang w:eastAsia="zh-CN"/>
        </w:rPr>
        <w:t>）</w:t>
      </w:r>
      <w:r>
        <w:rPr>
          <w:rFonts w:hint="eastAsia" w:ascii="宋体" w:hAnsi="宋体" w:cs="宋体"/>
          <w:b/>
          <w:bCs/>
          <w:kern w:val="0"/>
          <w:sz w:val="24"/>
          <w:lang w:val="en-US" w:eastAsia="zh-Hans"/>
        </w:rPr>
        <w:t>充电设施</w:t>
      </w:r>
      <w:r>
        <w:rPr>
          <w:rFonts w:hint="eastAsia" w:ascii="宋体" w:hAnsi="宋体" w:cs="宋体"/>
          <w:b/>
          <w:bCs/>
          <w:kern w:val="0"/>
          <w:sz w:val="24"/>
          <w:lang w:val="en-US" w:eastAsia="zh-CN"/>
        </w:rPr>
        <w:t>要求</w:t>
      </w:r>
    </w:p>
    <w:p>
      <w:pPr>
        <w:spacing w:line="360" w:lineRule="auto"/>
        <w:ind w:firstLine="480" w:firstLineChars="200"/>
        <w:rPr>
          <w:rFonts w:hint="eastAsia" w:ascii="宋体" w:hAnsi="宋体" w:eastAsia="宋体" w:cs="宋体"/>
          <w:b w:val="0"/>
          <w:bCs w:val="0"/>
          <w:kern w:val="0"/>
          <w:sz w:val="24"/>
        </w:rPr>
      </w:pPr>
      <w:r>
        <w:rPr>
          <w:rFonts w:hint="eastAsia" w:ascii="宋体" w:hAnsi="宋体" w:eastAsia="宋体" w:cs="宋体"/>
          <w:b w:val="0"/>
          <w:bCs w:val="0"/>
          <w:kern w:val="0"/>
          <w:sz w:val="24"/>
        </w:rPr>
        <w:t>1</w:t>
      </w:r>
      <w:r>
        <w:rPr>
          <w:rFonts w:hint="eastAsia" w:ascii="宋体" w:hAnsi="宋体" w:cs="宋体"/>
          <w:b w:val="0"/>
          <w:bCs w:val="0"/>
          <w:kern w:val="0"/>
          <w:sz w:val="24"/>
          <w:lang w:val="en-US" w:eastAsia="zh-CN"/>
        </w:rPr>
        <w:t>.</w:t>
      </w:r>
      <w:r>
        <w:rPr>
          <w:rFonts w:hint="eastAsia" w:ascii="宋体" w:hAnsi="宋体" w:eastAsia="宋体" w:cs="宋体"/>
          <w:b w:val="0"/>
          <w:bCs w:val="0"/>
          <w:kern w:val="0"/>
          <w:sz w:val="24"/>
        </w:rPr>
        <w:t>安全要求</w:t>
      </w:r>
    </w:p>
    <w:p>
      <w:pPr>
        <w:spacing w:line="360" w:lineRule="auto"/>
        <w:ind w:firstLine="480" w:firstLineChars="20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rPr>
        <w:t>（1）建成后该</w:t>
      </w:r>
      <w:r>
        <w:rPr>
          <w:rFonts w:hint="eastAsia" w:ascii="宋体" w:hAnsi="宋体" w:eastAsia="宋体" w:cs="宋体"/>
          <w:b w:val="0"/>
          <w:bCs w:val="0"/>
          <w:kern w:val="0"/>
          <w:sz w:val="24"/>
          <w:highlight w:val="none"/>
        </w:rPr>
        <w:t>系统充电设施应具备充满自动断电、定时断电、过载保护、短路保护、漏电保护、充电故障自动断电、充电故障报警、高温报警等功能。</w:t>
      </w:r>
    </w:p>
    <w:p>
      <w:pPr>
        <w:spacing w:line="360" w:lineRule="auto"/>
        <w:ind w:firstLine="480" w:firstLineChars="200"/>
        <w:rPr>
          <w:rFonts w:hint="default" w:ascii="宋体" w:hAnsi="宋体" w:cs="宋体"/>
          <w:b w:val="0"/>
          <w:bCs w:val="0"/>
          <w:kern w:val="0"/>
          <w:sz w:val="24"/>
        </w:rPr>
      </w:pPr>
      <w:r>
        <w:rPr>
          <w:rFonts w:hint="eastAsia" w:ascii="宋体" w:hAnsi="宋体" w:eastAsia="宋体" w:cs="宋体"/>
          <w:b w:val="0"/>
          <w:bCs w:val="0"/>
          <w:kern w:val="0"/>
          <w:sz w:val="24"/>
          <w:highlight w:val="none"/>
        </w:rPr>
        <w:t>（2）断电要求：当用户开始充电出现过载、过压、欠压、高温、漏电，充电桩具备检测功能，启动充电保护并执行自动断电程序。充满自停：</w:t>
      </w:r>
      <w:r>
        <w:rPr>
          <w:rFonts w:hint="eastAsia" w:ascii="宋体" w:hAnsi="宋体" w:cs="宋体"/>
          <w:b w:val="0"/>
          <w:bCs w:val="0"/>
          <w:kern w:val="0"/>
          <w:sz w:val="24"/>
          <w:highlight w:val="none"/>
          <w:lang w:val="en-US" w:eastAsia="zh-Hans"/>
        </w:rPr>
        <w:t>新能源汽车</w:t>
      </w:r>
      <w:r>
        <w:rPr>
          <w:rFonts w:hint="eastAsia" w:ascii="宋体" w:hAnsi="宋体" w:eastAsia="宋体" w:cs="宋体"/>
          <w:b w:val="0"/>
          <w:bCs w:val="0"/>
          <w:kern w:val="0"/>
          <w:sz w:val="24"/>
          <w:highlight w:val="none"/>
        </w:rPr>
        <w:t>充满电后系统识别出电池已属于饱和状态时自动断电，防止电池过充，达到保护电池使用的效果；自动断电：充电过程中用户拔掉插头，设备识别到无荷载即自动断电，确保全程安全供电；充满自动断电：自动断电，停止供电</w:t>
      </w:r>
      <w:r>
        <w:rPr>
          <w:rFonts w:hint="default" w:ascii="宋体" w:hAnsi="宋体" w:cs="宋体"/>
          <w:b w:val="0"/>
          <w:bCs w:val="0"/>
          <w:kern w:val="0"/>
          <w:sz w:val="24"/>
          <w:highlight w:val="none"/>
        </w:rPr>
        <w:t>，</w:t>
      </w:r>
      <w:r>
        <w:rPr>
          <w:rFonts w:hint="eastAsia" w:ascii="宋体" w:hAnsi="宋体" w:eastAsia="宋体" w:cs="宋体"/>
          <w:b w:val="0"/>
          <w:bCs w:val="0"/>
          <w:kern w:val="0"/>
          <w:sz w:val="24"/>
          <w:highlight w:val="none"/>
        </w:rPr>
        <w:t>有效避免过充带来电池爆炸，元器件发热起火等故障，无需依赖充电器自身配置；防止超负荷电器用电：系统自动识别负载功率，如果用电功率超过电动车充电功率，则系统自动停止供电（如果用电功率低于最小功率时系统识别不供</w:t>
      </w:r>
      <w:r>
        <w:rPr>
          <w:rFonts w:hint="eastAsia" w:ascii="宋体" w:hAnsi="宋体" w:eastAsia="宋体" w:cs="宋体"/>
          <w:b w:val="0"/>
          <w:bCs w:val="0"/>
          <w:kern w:val="0"/>
          <w:sz w:val="24"/>
        </w:rPr>
        <w:t>电）；自身安全性：随时对输入和输出功率进行检测控制；设备使用正常供电方式，内置保护器，恒定电流，对电池没有影响</w:t>
      </w:r>
      <w:r>
        <w:rPr>
          <w:rFonts w:hint="default" w:ascii="宋体" w:hAnsi="宋体" w:cs="宋体"/>
          <w:b w:val="0"/>
          <w:bCs w:val="0"/>
          <w:kern w:val="0"/>
          <w:sz w:val="24"/>
        </w:rPr>
        <w:t>。</w:t>
      </w:r>
    </w:p>
    <w:p>
      <w:pPr>
        <w:spacing w:line="360" w:lineRule="auto"/>
        <w:ind w:firstLine="480" w:firstLineChars="200"/>
        <w:rPr>
          <w:rFonts w:hint="eastAsia" w:ascii="宋体" w:hAnsi="宋体" w:eastAsia="宋体" w:cs="宋体"/>
          <w:b w:val="0"/>
          <w:bCs w:val="0"/>
          <w:kern w:val="0"/>
          <w:sz w:val="24"/>
        </w:rPr>
      </w:pPr>
      <w:r>
        <w:rPr>
          <w:rFonts w:hint="eastAsia" w:ascii="宋体" w:hAnsi="宋体" w:eastAsia="宋体" w:cs="宋体"/>
          <w:b w:val="0"/>
          <w:bCs w:val="0"/>
          <w:kern w:val="0"/>
          <w:sz w:val="24"/>
        </w:rPr>
        <w:t>（3）异常断电要求：当用户开始充电出现插座误拔、充电器异常情况，系统启动充电保护并执行自动断电程序。</w:t>
      </w:r>
    </w:p>
    <w:p>
      <w:pPr>
        <w:spacing w:line="360" w:lineRule="auto"/>
        <w:ind w:firstLine="480" w:firstLineChars="200"/>
        <w:rPr>
          <w:rFonts w:hint="eastAsia" w:ascii="宋体" w:hAnsi="宋体" w:eastAsia="宋体" w:cs="宋体"/>
          <w:b w:val="0"/>
          <w:bCs w:val="0"/>
          <w:kern w:val="0"/>
          <w:sz w:val="24"/>
        </w:rPr>
      </w:pPr>
      <w:r>
        <w:rPr>
          <w:rFonts w:hint="eastAsia" w:ascii="宋体" w:hAnsi="宋体" w:eastAsia="宋体" w:cs="宋体"/>
          <w:b w:val="0"/>
          <w:bCs w:val="0"/>
          <w:kern w:val="0"/>
          <w:sz w:val="24"/>
        </w:rPr>
        <w:t>（4）告警功能：当用户开始充电，出现温度异常或功率过载，充电桩智能软件平台会有信息推送，提醒用户或管理人员。</w:t>
      </w:r>
    </w:p>
    <w:p>
      <w:pPr>
        <w:spacing w:line="360" w:lineRule="auto"/>
        <w:ind w:firstLine="480" w:firstLineChars="200"/>
        <w:rPr>
          <w:rFonts w:hint="eastAsia" w:ascii="宋体" w:hAnsi="宋体" w:eastAsia="宋体" w:cs="宋体"/>
          <w:b w:val="0"/>
          <w:bCs w:val="0"/>
          <w:kern w:val="0"/>
          <w:sz w:val="24"/>
        </w:rPr>
      </w:pPr>
      <w:r>
        <w:rPr>
          <w:rFonts w:hint="eastAsia" w:ascii="宋体" w:hAnsi="宋体" w:eastAsia="宋体" w:cs="宋体"/>
          <w:b w:val="0"/>
          <w:bCs w:val="0"/>
          <w:kern w:val="0"/>
          <w:sz w:val="24"/>
        </w:rPr>
        <w:t>（5）防护要求：设备应具备短路保护、漏电保护功能。每个充电插口都应具有独立的过载、过压、欠压、过充、短路、高温、漏电的防护措施。充电插座应配置自复位式防尘、防雨盖等防护装置，以保证在使用过程中，保护设备用电安全。</w:t>
      </w:r>
    </w:p>
    <w:p>
      <w:pPr>
        <w:spacing w:line="360" w:lineRule="auto"/>
        <w:ind w:firstLine="480" w:firstLineChars="200"/>
        <w:rPr>
          <w:rFonts w:hint="eastAsia" w:ascii="宋体" w:hAnsi="宋体" w:eastAsia="宋体" w:cs="宋体"/>
          <w:b w:val="0"/>
          <w:bCs w:val="0"/>
          <w:kern w:val="0"/>
          <w:sz w:val="24"/>
        </w:rPr>
      </w:pPr>
      <w:r>
        <w:rPr>
          <w:rFonts w:hint="eastAsia" w:ascii="宋体" w:hAnsi="宋体" w:eastAsia="宋体" w:cs="宋体"/>
          <w:b w:val="0"/>
          <w:bCs w:val="0"/>
          <w:kern w:val="0"/>
          <w:sz w:val="24"/>
        </w:rPr>
        <w:t>（6）防水要求：充电插座防护等级应不低于国家质量标准中规定的IP54。</w:t>
      </w:r>
    </w:p>
    <w:p>
      <w:pPr>
        <w:spacing w:line="360" w:lineRule="auto"/>
        <w:ind w:firstLine="480" w:firstLineChars="200"/>
        <w:rPr>
          <w:rFonts w:hint="eastAsia" w:ascii="宋体" w:hAnsi="宋体" w:eastAsia="宋体" w:cs="宋体"/>
          <w:b w:val="0"/>
          <w:bCs w:val="0"/>
          <w:kern w:val="0"/>
          <w:sz w:val="24"/>
        </w:rPr>
      </w:pPr>
      <w:r>
        <w:rPr>
          <w:rFonts w:hint="eastAsia" w:ascii="宋体" w:hAnsi="宋体" w:eastAsia="宋体" w:cs="宋体"/>
          <w:b w:val="0"/>
          <w:bCs w:val="0"/>
          <w:kern w:val="0"/>
          <w:sz w:val="24"/>
        </w:rPr>
        <w:t>（7）防雷要求：充电设施防雷性能应能达到国家标准中规定的3级或以上。</w:t>
      </w:r>
    </w:p>
    <w:p>
      <w:pPr>
        <w:spacing w:line="360" w:lineRule="auto"/>
        <w:ind w:firstLine="480" w:firstLineChars="200"/>
        <w:rPr>
          <w:rFonts w:hint="eastAsia" w:ascii="宋体" w:hAnsi="宋体" w:eastAsia="宋体" w:cs="宋体"/>
          <w:b w:val="0"/>
          <w:bCs w:val="0"/>
          <w:kern w:val="0"/>
          <w:sz w:val="24"/>
        </w:rPr>
      </w:pPr>
      <w:r>
        <w:rPr>
          <w:rFonts w:hint="eastAsia" w:ascii="宋体" w:hAnsi="宋体" w:eastAsia="宋体" w:cs="宋体"/>
          <w:b w:val="0"/>
          <w:bCs w:val="0"/>
          <w:kern w:val="0"/>
          <w:sz w:val="24"/>
        </w:rPr>
        <w:t>（8）安全责任：中标单位应提高设备的安全等级，</w:t>
      </w:r>
      <w:r>
        <w:rPr>
          <w:rFonts w:hint="eastAsia" w:ascii="宋体" w:hAnsi="宋体" w:eastAsia="宋体" w:cs="宋体"/>
          <w:b w:val="0"/>
          <w:bCs w:val="0"/>
          <w:kern w:val="0"/>
          <w:sz w:val="24"/>
          <w:highlight w:val="none"/>
        </w:rPr>
        <w:t>有保险事故的承保。</w:t>
      </w:r>
      <w:r>
        <w:rPr>
          <w:rFonts w:hint="eastAsia" w:ascii="宋体" w:hAnsi="宋体" w:eastAsia="宋体" w:cs="宋体"/>
          <w:b w:val="0"/>
          <w:bCs w:val="0"/>
          <w:kern w:val="0"/>
          <w:sz w:val="24"/>
        </w:rPr>
        <w:t>如因设备质量问题或安装问题造成人员、财产损失，由中标单位承担赔偿责任。</w:t>
      </w:r>
    </w:p>
    <w:p>
      <w:pPr>
        <w:spacing w:line="360" w:lineRule="auto"/>
        <w:ind w:firstLine="480" w:firstLineChars="200"/>
        <w:rPr>
          <w:rFonts w:hint="eastAsia" w:ascii="宋体" w:hAnsi="宋体" w:eastAsia="宋体" w:cs="宋体"/>
          <w:b w:val="0"/>
          <w:bCs w:val="0"/>
          <w:kern w:val="0"/>
          <w:sz w:val="24"/>
        </w:rPr>
      </w:pPr>
      <w:r>
        <w:rPr>
          <w:rFonts w:hint="eastAsia" w:ascii="宋体" w:hAnsi="宋体" w:cs="宋体"/>
          <w:b w:val="0"/>
          <w:bCs w:val="0"/>
          <w:kern w:val="0"/>
          <w:sz w:val="24"/>
          <w:lang w:val="en-US" w:eastAsia="zh-CN"/>
        </w:rPr>
        <w:t>2.</w:t>
      </w:r>
      <w:r>
        <w:rPr>
          <w:rFonts w:hint="eastAsia" w:ascii="宋体" w:hAnsi="宋体" w:eastAsia="宋体" w:cs="宋体"/>
          <w:b w:val="0"/>
          <w:bCs w:val="0"/>
          <w:kern w:val="0"/>
          <w:sz w:val="24"/>
        </w:rPr>
        <w:t>技术规格要求</w:t>
      </w:r>
    </w:p>
    <w:p>
      <w:pPr>
        <w:spacing w:line="360" w:lineRule="auto"/>
        <w:ind w:firstLine="480" w:firstLineChars="200"/>
        <w:rPr>
          <w:rFonts w:hint="eastAsia" w:ascii="宋体" w:hAnsi="宋体" w:eastAsia="宋体" w:cs="宋体"/>
          <w:b w:val="0"/>
          <w:bCs w:val="0"/>
          <w:kern w:val="0"/>
          <w:sz w:val="24"/>
        </w:rPr>
      </w:pPr>
      <w:r>
        <w:rPr>
          <w:rFonts w:hint="eastAsia" w:ascii="宋体" w:hAnsi="宋体" w:eastAsia="宋体" w:cs="宋体"/>
          <w:b w:val="0"/>
          <w:bCs w:val="0"/>
          <w:kern w:val="0"/>
          <w:sz w:val="24"/>
        </w:rPr>
        <w:t>（1）应满足以下标准</w:t>
      </w:r>
    </w:p>
    <w:p>
      <w:pPr>
        <w:spacing w:line="360" w:lineRule="auto"/>
        <w:ind w:firstLine="480" w:firstLineChars="200"/>
        <w:rPr>
          <w:rFonts w:hint="eastAsia" w:ascii="宋体" w:hAnsi="宋体" w:eastAsia="宋体" w:cs="宋体"/>
          <w:b w:val="0"/>
          <w:bCs w:val="0"/>
          <w:kern w:val="0"/>
          <w:sz w:val="24"/>
        </w:rPr>
      </w:pPr>
      <w:r>
        <w:rPr>
          <w:rFonts w:hint="eastAsia" w:ascii="宋体" w:hAnsi="宋体" w:eastAsia="宋体" w:cs="宋体"/>
          <w:b w:val="0"/>
          <w:bCs w:val="0"/>
          <w:kern w:val="0"/>
          <w:sz w:val="24"/>
        </w:rPr>
        <w:t>①GB/T 20234.1-2015电动汽车传导充电用连接装置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②GB/T 27930-2015 电动汽车非车载传导式充电机与电池管理系统之间的通信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③GB/T 29316-2012 电动汽车充电设施电能质量技术要求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④GB/T 29317-2012 电动汽车充换电设施术语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⑤GB/T 29318-2012 电动汽车非车载充电机电能计量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（2）设备功能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lang w:eastAsia="zh-CN"/>
        </w:rPr>
      </w:pPr>
      <w:r>
        <w:rPr>
          <w:rFonts w:hint="eastAsia" w:ascii="宋体" w:hAnsi="宋体" w:eastAsia="宋体" w:cs="宋体"/>
          <w:b w:val="0"/>
          <w:bCs w:val="0"/>
          <w:kern w:val="0"/>
          <w:sz w:val="24"/>
        </w:rPr>
        <w:t>①采用主流高性能处理器，稳定性高，具有高速运算控制能力和强大系统资源，使产品更加稳定可靠</w:t>
      </w:r>
      <w:r>
        <w:rPr>
          <w:rFonts w:hint="eastAsia" w:ascii="宋体" w:hAnsi="宋体" w:cs="宋体"/>
          <w:b w:val="0"/>
          <w:bCs w:val="0"/>
          <w:ker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②具备友好的人机界面，人性化设计，操作简单、方便。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③提供线上支付，付费方便、快捷、安全。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④高精度智能电能表，提供准确的计量计费功能；有可靠的电气安全防护功能，机体采取防雨防尘设计，使整机性能更加可靠，可保证长期稳定运行。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⑤具有安全可靠的配电保护功能，如漏电、短路、过压、欠压、防雷击等保护功能。</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lang w:eastAsia="zh-CN"/>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3</w:t>
      </w:r>
      <w:r>
        <w:rPr>
          <w:rFonts w:hint="eastAsia" w:ascii="宋体" w:hAnsi="宋体" w:cs="宋体"/>
          <w:b w:val="0"/>
          <w:bCs w:val="0"/>
          <w:kern w:val="0"/>
          <w:sz w:val="24"/>
          <w:lang w:eastAsia="zh-CN"/>
        </w:rPr>
        <w:t>）</w:t>
      </w:r>
      <w:r>
        <w:rPr>
          <w:rFonts w:hint="eastAsia"/>
          <w:lang w:val="en-US" w:eastAsia="zh-CN"/>
        </w:rPr>
        <w:t>电缆</w:t>
      </w:r>
      <w:r>
        <w:rPr>
          <w:rFonts w:hint="eastAsia"/>
          <w:lang w:val="en-US" w:eastAsia="zh-Hans"/>
        </w:rPr>
        <w:t>需</w:t>
      </w:r>
      <w:r>
        <w:rPr>
          <w:rFonts w:hint="eastAsia"/>
          <w:lang w:val="en-US" w:eastAsia="zh-CN"/>
        </w:rPr>
        <w:t>符合国家技术标准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rPr>
      </w:pPr>
      <w:r>
        <w:rPr>
          <w:rFonts w:hint="eastAsia" w:ascii="宋体" w:hAnsi="宋体" w:eastAsia="宋体" w:cs="宋体"/>
          <w:b/>
          <w:bCs/>
          <w:kern w:val="0"/>
          <w:sz w:val="24"/>
        </w:rPr>
        <w:t>（二）项目具体内容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（1）在学校指定地点安装</w:t>
      </w:r>
      <w:r>
        <w:rPr>
          <w:rFonts w:hint="eastAsia" w:ascii="宋体" w:hAnsi="宋体" w:cs="宋体"/>
          <w:kern w:val="0"/>
          <w:sz w:val="24"/>
          <w:lang w:val="en-US" w:eastAsia="zh-CN"/>
        </w:rPr>
        <w:t>新能源汽车</w:t>
      </w:r>
      <w:r>
        <w:rPr>
          <w:rFonts w:hint="eastAsia" w:ascii="宋体" w:hAnsi="宋体" w:eastAsia="宋体" w:cs="宋体"/>
          <w:kern w:val="0"/>
          <w:sz w:val="24"/>
        </w:rPr>
        <w:t>充电桩（包括但不限于场地、线路改造费、机器购置费等），</w:t>
      </w:r>
      <w:r>
        <w:rPr>
          <w:rFonts w:hint="eastAsia" w:ascii="宋体" w:hAnsi="宋体" w:cs="宋体"/>
          <w:kern w:val="0"/>
          <w:sz w:val="24"/>
          <w:lang w:val="en-US" w:eastAsia="zh-Hans"/>
        </w:rPr>
        <w:t>一机双枪</w:t>
      </w:r>
      <w:r>
        <w:rPr>
          <w:rFonts w:hint="default" w:ascii="宋体" w:hAnsi="宋体" w:cs="宋体"/>
          <w:kern w:val="0"/>
          <w:sz w:val="24"/>
          <w:lang w:eastAsia="zh-Hans"/>
        </w:rPr>
        <w:t>。</w:t>
      </w:r>
      <w:r>
        <w:rPr>
          <w:rFonts w:hint="eastAsia" w:ascii="宋体" w:hAnsi="宋体" w:eastAsia="宋体" w:cs="宋体"/>
          <w:kern w:val="0"/>
          <w:sz w:val="24"/>
        </w:rPr>
        <w:t>具体地点：校园内</w:t>
      </w:r>
      <w:r>
        <w:rPr>
          <w:rFonts w:hint="eastAsia" w:ascii="宋体" w:hAnsi="宋体" w:cs="宋体"/>
          <w:kern w:val="0"/>
          <w:sz w:val="24"/>
          <w:lang w:val="en-US" w:eastAsia="zh-CN"/>
        </w:rPr>
        <w:t>指定</w:t>
      </w:r>
      <w:r>
        <w:rPr>
          <w:rFonts w:hint="eastAsia" w:ascii="宋体" w:hAnsi="宋体" w:eastAsia="宋体" w:cs="宋体"/>
          <w:kern w:val="0"/>
          <w:sz w:val="24"/>
        </w:rPr>
        <w:t>机动车停车</w:t>
      </w:r>
      <w:r>
        <w:rPr>
          <w:rFonts w:hint="eastAsia" w:ascii="宋体" w:hAnsi="宋体" w:cs="宋体"/>
          <w:kern w:val="0"/>
          <w:sz w:val="24"/>
          <w:lang w:val="en-US" w:eastAsia="zh-CN"/>
        </w:rPr>
        <w:t>位</w:t>
      </w:r>
      <w:r>
        <w:rPr>
          <w:rFonts w:hint="eastAsia" w:ascii="宋体" w:hAnsi="宋体" w:eastAsia="宋体" w:cs="宋体"/>
          <w:kern w:val="0"/>
          <w:sz w:val="24"/>
        </w:rPr>
        <w:t>。</w:t>
      </w:r>
    </w:p>
    <w:p>
      <w:pPr>
        <w:spacing w:line="360" w:lineRule="auto"/>
        <w:ind w:firstLine="480" w:firstLineChars="200"/>
        <w:rPr>
          <w:rFonts w:hint="default" w:ascii="宋体" w:hAnsi="宋体" w:eastAsia="宋体" w:cs="宋体"/>
          <w:kern w:val="0"/>
          <w:sz w:val="24"/>
          <w:lang w:eastAsia="zh-Hans"/>
        </w:rPr>
      </w:pPr>
      <w:r>
        <w:rPr>
          <w:rFonts w:hint="eastAsia" w:ascii="宋体" w:hAnsi="宋体" w:eastAsia="宋体" w:cs="宋体"/>
          <w:kern w:val="0"/>
          <w:sz w:val="24"/>
        </w:rPr>
        <w:t>（2）</w:t>
      </w:r>
      <w:r>
        <w:rPr>
          <w:rFonts w:hint="eastAsia" w:ascii="宋体" w:hAnsi="宋体" w:cs="宋体"/>
          <w:kern w:val="0"/>
          <w:sz w:val="24"/>
          <w:lang w:val="en-US" w:eastAsia="zh-Hans"/>
        </w:rPr>
        <w:t>学校向中标单位收取电费</w:t>
      </w:r>
      <w:r>
        <w:rPr>
          <w:rFonts w:hint="default" w:ascii="宋体" w:hAnsi="宋体" w:cs="宋体"/>
          <w:kern w:val="0"/>
          <w:sz w:val="24"/>
          <w:lang w:eastAsia="zh-Hans"/>
        </w:rPr>
        <w:t>0</w:t>
      </w:r>
      <w:r>
        <w:rPr>
          <w:rFonts w:hint="eastAsia" w:ascii="宋体" w:hAnsi="宋体" w:cs="宋体"/>
          <w:kern w:val="0"/>
          <w:sz w:val="24"/>
          <w:lang w:val="en-US" w:eastAsia="zh-Hans"/>
        </w:rPr>
        <w:t>.</w:t>
      </w:r>
      <w:r>
        <w:rPr>
          <w:rFonts w:hint="default" w:ascii="宋体" w:hAnsi="宋体" w:cs="宋体"/>
          <w:kern w:val="0"/>
          <w:sz w:val="24"/>
          <w:lang w:eastAsia="zh-Hans"/>
        </w:rPr>
        <w:t>54</w:t>
      </w:r>
      <w:r>
        <w:rPr>
          <w:rFonts w:hint="eastAsia" w:ascii="宋体" w:hAnsi="宋体" w:cs="宋体"/>
          <w:kern w:val="0"/>
          <w:sz w:val="24"/>
          <w:lang w:val="en-US" w:eastAsia="zh-Hans"/>
        </w:rPr>
        <w:t>元</w:t>
      </w:r>
      <w:r>
        <w:rPr>
          <w:rFonts w:hint="default" w:ascii="宋体" w:hAnsi="宋体" w:cs="宋体"/>
          <w:kern w:val="0"/>
          <w:sz w:val="24"/>
          <w:lang w:eastAsia="zh-Hans"/>
        </w:rPr>
        <w:t>/</w:t>
      </w:r>
      <w:r>
        <w:rPr>
          <w:rFonts w:hint="eastAsia" w:ascii="宋体" w:hAnsi="宋体" w:cs="宋体"/>
          <w:kern w:val="0"/>
          <w:sz w:val="24"/>
          <w:lang w:val="en-US" w:eastAsia="zh-Hans"/>
        </w:rPr>
        <w:t>度</w:t>
      </w:r>
      <w:r>
        <w:rPr>
          <w:rFonts w:hint="default" w:ascii="宋体" w:hAnsi="宋体" w:cs="宋体"/>
          <w:kern w:val="0"/>
          <w:sz w:val="24"/>
          <w:lang w:eastAsia="zh-Hans"/>
        </w:rPr>
        <w:t>，</w:t>
      </w:r>
      <w:r>
        <w:rPr>
          <w:rFonts w:hint="eastAsia" w:ascii="宋体" w:hAnsi="宋体" w:cs="宋体"/>
          <w:kern w:val="0"/>
          <w:sz w:val="24"/>
          <w:lang w:val="en-US" w:eastAsia="zh-Hans"/>
        </w:rPr>
        <w:t>中标单位收取运营服务费限价</w:t>
      </w:r>
      <w:r>
        <w:rPr>
          <w:rFonts w:hint="default" w:ascii="宋体" w:hAnsi="宋体" w:cs="宋体"/>
          <w:kern w:val="0"/>
          <w:sz w:val="24"/>
          <w:lang w:eastAsia="zh-Hans"/>
        </w:rPr>
        <w:t>0</w:t>
      </w:r>
      <w:r>
        <w:rPr>
          <w:rFonts w:hint="eastAsia" w:ascii="宋体" w:hAnsi="宋体" w:cs="宋体"/>
          <w:kern w:val="0"/>
          <w:sz w:val="24"/>
          <w:lang w:val="en-US" w:eastAsia="zh-Hans"/>
        </w:rPr>
        <w:t>.</w:t>
      </w:r>
      <w:r>
        <w:rPr>
          <w:rFonts w:hint="default" w:ascii="宋体" w:hAnsi="宋体" w:cs="宋体"/>
          <w:kern w:val="0"/>
          <w:sz w:val="24"/>
          <w:lang w:eastAsia="zh-Hans"/>
        </w:rPr>
        <w:t>8</w:t>
      </w:r>
      <w:r>
        <w:rPr>
          <w:rFonts w:hint="eastAsia" w:ascii="宋体" w:hAnsi="宋体" w:cs="宋体"/>
          <w:kern w:val="0"/>
          <w:sz w:val="24"/>
          <w:lang w:val="en-US" w:eastAsia="zh-Hans"/>
        </w:rPr>
        <w:t>元</w:t>
      </w:r>
      <w:r>
        <w:rPr>
          <w:rFonts w:hint="default" w:ascii="宋体" w:hAnsi="宋体" w:cs="宋体"/>
          <w:kern w:val="0"/>
          <w:sz w:val="24"/>
          <w:lang w:eastAsia="zh-Hans"/>
        </w:rPr>
        <w:t>/</w:t>
      </w:r>
      <w:r>
        <w:rPr>
          <w:rFonts w:hint="eastAsia" w:ascii="宋体" w:hAnsi="宋体" w:cs="宋体"/>
          <w:kern w:val="0"/>
          <w:sz w:val="24"/>
          <w:lang w:val="en-US" w:eastAsia="zh-Hans"/>
        </w:rPr>
        <w:t>度</w:t>
      </w:r>
      <w:r>
        <w:rPr>
          <w:rFonts w:hint="default" w:ascii="宋体" w:hAnsi="宋体" w:cs="宋体"/>
          <w:kern w:val="0"/>
          <w:sz w:val="24"/>
          <w:lang w:eastAsia="zh-Hans"/>
        </w:rPr>
        <w:t>。</w:t>
      </w:r>
    </w:p>
    <w:p>
      <w:pPr>
        <w:spacing w:line="360" w:lineRule="auto"/>
        <w:ind w:firstLine="480" w:firstLineChars="200"/>
        <w:rPr>
          <w:rFonts w:hint="eastAsia" w:ascii="宋体" w:hAnsi="宋体" w:eastAsia="宋体" w:cs="宋体"/>
          <w:color w:val="FF0000"/>
          <w:kern w:val="0"/>
          <w:sz w:val="24"/>
        </w:rPr>
      </w:pPr>
      <w:r>
        <w:rPr>
          <w:rFonts w:hint="eastAsia" w:ascii="宋体" w:hAnsi="宋体" w:eastAsia="宋体" w:cs="宋体"/>
          <w:kern w:val="0"/>
          <w:sz w:val="24"/>
        </w:rPr>
        <w:t>（3）做好</w:t>
      </w:r>
      <w:r>
        <w:rPr>
          <w:rFonts w:hint="eastAsia" w:ascii="宋体" w:hAnsi="宋体" w:cs="宋体"/>
          <w:kern w:val="0"/>
          <w:sz w:val="24"/>
          <w:lang w:val="en-US" w:eastAsia="zh-CN"/>
        </w:rPr>
        <w:t>新能源汽车</w:t>
      </w:r>
      <w:r>
        <w:rPr>
          <w:rFonts w:hint="eastAsia" w:ascii="宋体" w:hAnsi="宋体" w:eastAsia="宋体" w:cs="宋体"/>
          <w:kern w:val="0"/>
          <w:sz w:val="24"/>
        </w:rPr>
        <w:t>充电桩的维护、</w:t>
      </w:r>
      <w:r>
        <w:rPr>
          <w:rFonts w:hint="eastAsia" w:ascii="宋体" w:hAnsi="宋体" w:cs="宋体"/>
          <w:kern w:val="0"/>
          <w:sz w:val="24"/>
          <w:lang w:val="en-US" w:eastAsia="zh-Hans"/>
        </w:rPr>
        <w:t>运</w:t>
      </w:r>
      <w:r>
        <w:rPr>
          <w:rFonts w:hint="eastAsia" w:ascii="宋体" w:hAnsi="宋体" w:eastAsia="宋体" w:cs="宋体"/>
          <w:kern w:val="0"/>
          <w:sz w:val="24"/>
        </w:rPr>
        <w:t>营服务、售后等工作。</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（三）项目</w:t>
      </w:r>
      <w:r>
        <w:rPr>
          <w:rFonts w:hint="eastAsia" w:ascii="宋体" w:hAnsi="宋体" w:cs="宋体"/>
          <w:b/>
          <w:bCs/>
          <w:kern w:val="0"/>
          <w:sz w:val="24"/>
          <w:lang w:val="en-US" w:eastAsia="zh-Hans"/>
        </w:rPr>
        <w:t>服务</w:t>
      </w:r>
      <w:r>
        <w:rPr>
          <w:rFonts w:hint="eastAsia" w:ascii="宋体" w:hAnsi="宋体" w:eastAsia="宋体" w:cs="宋体"/>
          <w:b/>
          <w:bCs/>
          <w:kern w:val="0"/>
          <w:sz w:val="24"/>
        </w:rPr>
        <w:t>方式</w:t>
      </w:r>
    </w:p>
    <w:p>
      <w:pPr>
        <w:spacing w:line="360" w:lineRule="auto"/>
        <w:ind w:firstLine="480" w:firstLineChars="200"/>
        <w:rPr>
          <w:rFonts w:hint="eastAsia" w:ascii="宋体" w:hAnsi="宋体" w:eastAsia="宋体" w:cs="宋体"/>
          <w:b/>
          <w:bCs/>
          <w:kern w:val="0"/>
          <w:sz w:val="24"/>
        </w:rPr>
      </w:pPr>
      <w:r>
        <w:rPr>
          <w:rFonts w:hint="eastAsia" w:ascii="宋体" w:hAnsi="宋体" w:eastAsia="宋体" w:cs="宋体"/>
          <w:kern w:val="0"/>
          <w:sz w:val="24"/>
        </w:rPr>
        <w:t>由中标</w:t>
      </w:r>
      <w:r>
        <w:rPr>
          <w:rFonts w:hint="eastAsia" w:ascii="宋体" w:hAnsi="宋体" w:cs="宋体"/>
          <w:kern w:val="0"/>
          <w:sz w:val="24"/>
          <w:lang w:val="en-US" w:eastAsia="zh-Hans"/>
        </w:rPr>
        <w:t>单位</w:t>
      </w:r>
      <w:r>
        <w:rPr>
          <w:rFonts w:hint="eastAsia" w:ascii="宋体" w:hAnsi="宋体" w:eastAsia="宋体" w:cs="宋体"/>
          <w:kern w:val="0"/>
          <w:sz w:val="24"/>
        </w:rPr>
        <w:t>投资</w:t>
      </w:r>
      <w:r>
        <w:rPr>
          <w:rFonts w:hint="eastAsia" w:ascii="宋体" w:hAnsi="宋体" w:cs="宋体"/>
          <w:kern w:val="0"/>
          <w:sz w:val="24"/>
          <w:lang w:eastAsia="zh-CN"/>
        </w:rPr>
        <w:t>新能源汽车</w:t>
      </w:r>
      <w:r>
        <w:rPr>
          <w:rFonts w:hint="eastAsia" w:ascii="宋体" w:hAnsi="宋体" w:eastAsia="宋体" w:cs="宋体"/>
          <w:kern w:val="0"/>
          <w:sz w:val="24"/>
        </w:rPr>
        <w:t>充电桩设备，要求对自助</w:t>
      </w:r>
      <w:r>
        <w:rPr>
          <w:rFonts w:hint="eastAsia" w:ascii="宋体" w:hAnsi="宋体" w:cs="宋体"/>
          <w:kern w:val="0"/>
          <w:sz w:val="24"/>
          <w:lang w:val="en-US" w:eastAsia="zh-CN"/>
        </w:rPr>
        <w:t>充电</w:t>
      </w:r>
      <w:r>
        <w:rPr>
          <w:rFonts w:hint="eastAsia" w:ascii="宋体" w:hAnsi="宋体" w:eastAsia="宋体" w:cs="宋体"/>
          <w:kern w:val="0"/>
          <w:sz w:val="24"/>
        </w:rPr>
        <w:t>服务区域进行</w:t>
      </w:r>
      <w:r>
        <w:rPr>
          <w:rFonts w:hint="eastAsia" w:ascii="宋体" w:hAnsi="宋体" w:cs="宋体"/>
          <w:kern w:val="0"/>
          <w:sz w:val="24"/>
          <w:lang w:val="en-US" w:eastAsia="zh-Hans"/>
        </w:rPr>
        <w:t>建设</w:t>
      </w:r>
      <w:r>
        <w:rPr>
          <w:rFonts w:hint="eastAsia" w:ascii="宋体" w:hAnsi="宋体" w:eastAsia="宋体" w:cs="宋体"/>
          <w:kern w:val="0"/>
          <w:sz w:val="24"/>
        </w:rPr>
        <w:t>，包含</w:t>
      </w:r>
      <w:r>
        <w:rPr>
          <w:rFonts w:hint="eastAsia" w:ascii="宋体" w:hAnsi="宋体" w:cs="宋体"/>
          <w:kern w:val="0"/>
          <w:sz w:val="24"/>
          <w:lang w:val="en-US" w:eastAsia="zh-Hans"/>
        </w:rPr>
        <w:t>服务</w:t>
      </w:r>
      <w:r>
        <w:rPr>
          <w:rFonts w:hint="eastAsia" w:ascii="宋体" w:hAnsi="宋体" w:eastAsia="宋体" w:cs="宋体"/>
          <w:kern w:val="0"/>
          <w:sz w:val="24"/>
        </w:rPr>
        <w:t>所需的所有硬件及软件设施，</w:t>
      </w:r>
      <w:r>
        <w:rPr>
          <w:rFonts w:hint="eastAsia" w:ascii="宋体" w:hAnsi="宋体" w:cs="宋体"/>
          <w:kern w:val="0"/>
          <w:sz w:val="24"/>
          <w:lang w:val="en-US" w:eastAsia="zh-Hans"/>
        </w:rPr>
        <w:t>中标单位</w:t>
      </w:r>
      <w:r>
        <w:rPr>
          <w:rFonts w:hint="eastAsia" w:ascii="宋体" w:hAnsi="宋体" w:eastAsia="宋体" w:cs="宋体"/>
          <w:kern w:val="0"/>
          <w:sz w:val="24"/>
        </w:rPr>
        <w:t>按期向采购人缴纳</w:t>
      </w:r>
      <w:r>
        <w:rPr>
          <w:rFonts w:hint="eastAsia" w:ascii="宋体" w:hAnsi="宋体" w:cs="宋体"/>
          <w:kern w:val="0"/>
          <w:sz w:val="24"/>
          <w:lang w:eastAsia="zh-CN"/>
        </w:rPr>
        <w:t>电费</w:t>
      </w:r>
      <w:r>
        <w:rPr>
          <w:rFonts w:hint="eastAsia" w:ascii="宋体" w:hAnsi="宋体" w:eastAsia="宋体" w:cs="宋体"/>
          <w:kern w:val="0"/>
          <w:sz w:val="24"/>
        </w:rPr>
        <w:t>，师生自助消费、自助结算。</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（四）项目</w:t>
      </w:r>
      <w:r>
        <w:rPr>
          <w:rFonts w:hint="eastAsia" w:ascii="宋体" w:hAnsi="宋体" w:cs="宋体"/>
          <w:b/>
          <w:bCs/>
          <w:kern w:val="0"/>
          <w:sz w:val="24"/>
          <w:lang w:val="en-US" w:eastAsia="zh-Hans"/>
        </w:rPr>
        <w:t>服务</w:t>
      </w:r>
      <w:r>
        <w:rPr>
          <w:rFonts w:hint="eastAsia" w:ascii="宋体" w:hAnsi="宋体" w:eastAsia="宋体" w:cs="宋体"/>
          <w:b/>
          <w:bCs/>
          <w:kern w:val="0"/>
          <w:sz w:val="24"/>
        </w:rPr>
        <w:t>期限</w:t>
      </w:r>
    </w:p>
    <w:p>
      <w:pPr>
        <w:spacing w:line="360" w:lineRule="auto"/>
        <w:ind w:firstLine="480" w:firstLineChars="200"/>
        <w:rPr>
          <w:rFonts w:hint="eastAsia" w:ascii="宋体" w:hAnsi="宋体" w:eastAsia="宋体" w:cs="宋体"/>
          <w:kern w:val="0"/>
          <w:sz w:val="24"/>
          <w:highlight w:val="yellow"/>
          <w:lang w:val="en-US" w:eastAsia="zh-CN"/>
        </w:rPr>
      </w:pPr>
      <w:r>
        <w:rPr>
          <w:rFonts w:hint="eastAsia" w:ascii="宋体" w:hAnsi="宋体" w:eastAsia="宋体" w:cs="宋体"/>
          <w:kern w:val="0"/>
          <w:sz w:val="24"/>
          <w:highlight w:val="yellow"/>
        </w:rPr>
        <w:t>202</w:t>
      </w:r>
      <w:r>
        <w:rPr>
          <w:rFonts w:hint="eastAsia" w:ascii="宋体" w:hAnsi="宋体" w:eastAsia="宋体" w:cs="宋体"/>
          <w:kern w:val="0"/>
          <w:sz w:val="24"/>
          <w:highlight w:val="yellow"/>
          <w:lang w:val="en-US" w:eastAsia="zh-CN"/>
        </w:rPr>
        <w:t>4</w:t>
      </w:r>
      <w:r>
        <w:rPr>
          <w:rFonts w:hint="eastAsia" w:ascii="宋体" w:hAnsi="宋体" w:eastAsia="宋体" w:cs="宋体"/>
          <w:kern w:val="0"/>
          <w:sz w:val="24"/>
          <w:highlight w:val="yellow"/>
        </w:rPr>
        <w:t>年</w:t>
      </w:r>
      <w:r>
        <w:rPr>
          <w:rFonts w:hint="eastAsia" w:ascii="宋体" w:hAnsi="宋体" w:cs="宋体"/>
          <w:kern w:val="0"/>
          <w:sz w:val="24"/>
          <w:highlight w:val="yellow"/>
          <w:lang w:val="en-US" w:eastAsia="zh-CN"/>
        </w:rPr>
        <w:t>9</w:t>
      </w:r>
      <w:r>
        <w:rPr>
          <w:rFonts w:hint="eastAsia" w:ascii="宋体" w:hAnsi="宋体" w:eastAsia="宋体" w:cs="宋体"/>
          <w:kern w:val="0"/>
          <w:sz w:val="24"/>
          <w:highlight w:val="yellow"/>
        </w:rPr>
        <w:t>月</w:t>
      </w:r>
      <w:r>
        <w:rPr>
          <w:rFonts w:hint="eastAsia" w:ascii="宋体" w:hAnsi="宋体" w:cs="宋体"/>
          <w:kern w:val="0"/>
          <w:sz w:val="24"/>
          <w:highlight w:val="yellow"/>
          <w:lang w:val="en-US" w:eastAsia="zh-CN"/>
        </w:rPr>
        <w:t>10</w:t>
      </w:r>
      <w:r>
        <w:rPr>
          <w:rFonts w:hint="eastAsia" w:ascii="宋体" w:hAnsi="宋体" w:eastAsia="宋体" w:cs="宋体"/>
          <w:kern w:val="0"/>
          <w:sz w:val="24"/>
          <w:highlight w:val="yellow"/>
        </w:rPr>
        <w:t>日-20</w:t>
      </w:r>
      <w:r>
        <w:rPr>
          <w:rFonts w:hint="eastAsia" w:ascii="宋体" w:hAnsi="宋体" w:cs="宋体"/>
          <w:kern w:val="0"/>
          <w:sz w:val="24"/>
          <w:highlight w:val="yellow"/>
          <w:lang w:val="en-US" w:eastAsia="zh-CN"/>
        </w:rPr>
        <w:t>27</w:t>
      </w:r>
      <w:r>
        <w:rPr>
          <w:rFonts w:hint="eastAsia" w:ascii="宋体" w:hAnsi="宋体" w:eastAsia="宋体" w:cs="宋体"/>
          <w:kern w:val="0"/>
          <w:sz w:val="24"/>
          <w:highlight w:val="yellow"/>
        </w:rPr>
        <w:t>年7月</w:t>
      </w:r>
      <w:r>
        <w:rPr>
          <w:rFonts w:hint="eastAsia" w:ascii="宋体" w:hAnsi="宋体" w:cs="宋体"/>
          <w:kern w:val="0"/>
          <w:sz w:val="24"/>
          <w:highlight w:val="yellow"/>
          <w:lang w:val="en-US" w:eastAsia="zh-CN"/>
        </w:rPr>
        <w:t>31</w:t>
      </w:r>
      <w:r>
        <w:rPr>
          <w:rFonts w:hint="eastAsia" w:ascii="宋体" w:hAnsi="宋体" w:eastAsia="宋体" w:cs="宋体"/>
          <w:kern w:val="0"/>
          <w:sz w:val="24"/>
          <w:highlight w:val="yellow"/>
        </w:rPr>
        <w:t>日。</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（五）项目</w:t>
      </w:r>
      <w:r>
        <w:rPr>
          <w:rFonts w:hint="eastAsia" w:ascii="宋体" w:hAnsi="宋体" w:cs="宋体"/>
          <w:b/>
          <w:bCs/>
          <w:kern w:val="0"/>
          <w:sz w:val="24"/>
          <w:lang w:eastAsia="zh-CN"/>
        </w:rPr>
        <w:t>电费</w:t>
      </w:r>
      <w:r>
        <w:rPr>
          <w:rFonts w:hint="eastAsia" w:ascii="宋体" w:hAnsi="宋体" w:eastAsia="宋体" w:cs="宋体"/>
          <w:b/>
          <w:bCs/>
          <w:kern w:val="0"/>
          <w:sz w:val="24"/>
        </w:rPr>
        <w:t>及结算方式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中标</w:t>
      </w:r>
      <w:r>
        <w:rPr>
          <w:rFonts w:hint="eastAsia" w:ascii="宋体" w:hAnsi="宋体" w:cs="宋体"/>
          <w:kern w:val="0"/>
          <w:sz w:val="24"/>
          <w:lang w:val="en-US" w:eastAsia="zh-Hans"/>
        </w:rPr>
        <w:t>单位</w:t>
      </w:r>
      <w:r>
        <w:rPr>
          <w:rFonts w:hint="eastAsia" w:ascii="宋体" w:hAnsi="宋体" w:eastAsia="宋体" w:cs="宋体"/>
          <w:kern w:val="0"/>
          <w:sz w:val="24"/>
        </w:rPr>
        <w:t>每半年一次按</w:t>
      </w:r>
      <w:r>
        <w:rPr>
          <w:rFonts w:hint="eastAsia" w:ascii="宋体" w:hAnsi="宋体" w:cs="宋体"/>
          <w:kern w:val="0"/>
          <w:sz w:val="24"/>
          <w:lang w:val="en-US" w:eastAsia="zh-Hans"/>
        </w:rPr>
        <w:t>国网供电公司收取学校用电标准</w:t>
      </w:r>
      <w:r>
        <w:rPr>
          <w:rFonts w:hint="default" w:ascii="宋体" w:hAnsi="宋体" w:cs="宋体"/>
          <w:kern w:val="0"/>
          <w:sz w:val="24"/>
          <w:lang w:eastAsia="zh-Hans"/>
        </w:rPr>
        <w:t>（</w:t>
      </w:r>
      <w:r>
        <w:rPr>
          <w:rFonts w:hint="eastAsia" w:ascii="宋体" w:hAnsi="宋体" w:cs="宋体"/>
          <w:kern w:val="0"/>
          <w:sz w:val="24"/>
          <w:lang w:val="en-US" w:eastAsia="zh-Hans"/>
        </w:rPr>
        <w:t>现行电费为</w:t>
      </w:r>
      <w:r>
        <w:rPr>
          <w:rFonts w:hint="default" w:ascii="宋体" w:hAnsi="宋体" w:cs="宋体"/>
          <w:kern w:val="0"/>
          <w:sz w:val="24"/>
          <w:lang w:eastAsia="zh-Hans"/>
        </w:rPr>
        <w:t>0</w:t>
      </w:r>
      <w:r>
        <w:rPr>
          <w:rFonts w:hint="eastAsia" w:ascii="宋体" w:hAnsi="宋体" w:cs="宋体"/>
          <w:kern w:val="0"/>
          <w:sz w:val="24"/>
          <w:lang w:val="en-US" w:eastAsia="zh-Hans"/>
        </w:rPr>
        <w:t>.</w:t>
      </w:r>
      <w:r>
        <w:rPr>
          <w:rFonts w:hint="default" w:ascii="宋体" w:hAnsi="宋体" w:cs="宋体"/>
          <w:kern w:val="0"/>
          <w:sz w:val="24"/>
          <w:lang w:eastAsia="zh-Hans"/>
        </w:rPr>
        <w:t>54</w:t>
      </w:r>
      <w:r>
        <w:rPr>
          <w:rFonts w:hint="eastAsia" w:ascii="宋体" w:hAnsi="宋体" w:cs="宋体"/>
          <w:kern w:val="0"/>
          <w:sz w:val="24"/>
          <w:lang w:val="en-US" w:eastAsia="zh-Hans"/>
        </w:rPr>
        <w:t>元</w:t>
      </w:r>
      <w:r>
        <w:rPr>
          <w:rFonts w:hint="default" w:ascii="宋体" w:hAnsi="宋体" w:cs="宋体"/>
          <w:kern w:val="0"/>
          <w:sz w:val="24"/>
          <w:lang w:eastAsia="zh-Hans"/>
        </w:rPr>
        <w:t>/</w:t>
      </w:r>
      <w:r>
        <w:rPr>
          <w:rFonts w:hint="eastAsia" w:ascii="宋体" w:hAnsi="宋体" w:cs="宋体"/>
          <w:kern w:val="0"/>
          <w:sz w:val="24"/>
          <w:lang w:val="en-US" w:eastAsia="zh-Hans"/>
        </w:rPr>
        <w:t>度</w:t>
      </w:r>
      <w:r>
        <w:rPr>
          <w:rFonts w:hint="default" w:ascii="宋体" w:hAnsi="宋体" w:cs="宋体"/>
          <w:kern w:val="0"/>
          <w:sz w:val="24"/>
          <w:lang w:eastAsia="zh-Hans"/>
        </w:rPr>
        <w:t>）</w:t>
      </w:r>
      <w:r>
        <w:rPr>
          <w:rFonts w:hint="eastAsia" w:ascii="宋体" w:hAnsi="宋体" w:cs="宋体"/>
          <w:kern w:val="0"/>
          <w:sz w:val="24"/>
          <w:lang w:val="en-US" w:eastAsia="zh-Hans"/>
        </w:rPr>
        <w:t>向</w:t>
      </w:r>
      <w:r>
        <w:rPr>
          <w:rFonts w:hint="eastAsia" w:ascii="宋体" w:hAnsi="宋体" w:eastAsia="宋体" w:cs="宋体"/>
          <w:kern w:val="0"/>
          <w:sz w:val="24"/>
        </w:rPr>
        <w:t>校方缴纳</w:t>
      </w:r>
      <w:r>
        <w:rPr>
          <w:rFonts w:hint="eastAsia" w:ascii="宋体" w:hAnsi="宋体" w:eastAsia="宋体" w:cs="宋体"/>
          <w:kern w:val="0"/>
          <w:sz w:val="24"/>
          <w:lang w:eastAsia="zh-CN"/>
        </w:rPr>
        <w:t>电费</w:t>
      </w:r>
      <w:r>
        <w:rPr>
          <w:rFonts w:hint="eastAsia" w:ascii="宋体" w:hAnsi="宋体" w:eastAsia="宋体" w:cs="宋体"/>
          <w:kern w:val="0"/>
          <w:sz w:val="24"/>
        </w:rPr>
        <w:t>，合同期内</w:t>
      </w:r>
      <w:r>
        <w:rPr>
          <w:rFonts w:hint="eastAsia" w:ascii="宋体" w:hAnsi="宋体" w:eastAsia="宋体" w:cs="宋体"/>
          <w:kern w:val="0"/>
          <w:sz w:val="24"/>
          <w:lang w:eastAsia="zh-CN"/>
        </w:rPr>
        <w:t>电费</w:t>
      </w:r>
      <w:r>
        <w:rPr>
          <w:rFonts w:hint="eastAsia" w:ascii="宋体" w:hAnsi="宋体" w:eastAsia="宋体" w:cs="宋体"/>
          <w:kern w:val="0"/>
          <w:sz w:val="24"/>
        </w:rPr>
        <w:t>的价格随</w:t>
      </w:r>
      <w:r>
        <w:rPr>
          <w:rFonts w:hint="eastAsia" w:ascii="宋体" w:hAnsi="宋体" w:cs="宋体"/>
          <w:kern w:val="0"/>
          <w:sz w:val="24"/>
          <w:lang w:val="en-US" w:eastAsia="zh-Hans"/>
        </w:rPr>
        <w:t>国网供电公司收取学校用电标准</w:t>
      </w:r>
      <w:r>
        <w:rPr>
          <w:rFonts w:hint="eastAsia" w:ascii="宋体" w:hAnsi="宋体" w:eastAsia="宋体" w:cs="宋体"/>
          <w:kern w:val="0"/>
          <w:sz w:val="24"/>
        </w:rPr>
        <w:t>的价格变动作相应的调整。</w:t>
      </w:r>
    </w:p>
    <w:p>
      <w:p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三</w:t>
      </w:r>
      <w:r>
        <w:rPr>
          <w:rFonts w:hint="eastAsia" w:ascii="宋体" w:hAnsi="宋体" w:eastAsia="宋体" w:cs="宋体"/>
          <w:b/>
          <w:sz w:val="24"/>
        </w:rPr>
        <w:t>、其他</w:t>
      </w:r>
    </w:p>
    <w:p>
      <w:pPr>
        <w:pStyle w:val="30"/>
        <w:spacing w:line="360" w:lineRule="auto"/>
        <w:ind w:firstLine="480" w:firstLineChars="200"/>
        <w:rPr>
          <w:rFonts w:hint="eastAsia" w:ascii="宋体" w:hAnsi="宋体" w:eastAsia="宋体" w:cs="宋体"/>
          <w:bCs/>
          <w:color w:val="auto"/>
          <w:kern w:val="2"/>
          <w:lang w:val="en-US" w:eastAsia="zh-CN"/>
        </w:rPr>
      </w:pPr>
      <w:r>
        <w:rPr>
          <w:rFonts w:hint="eastAsia" w:ascii="宋体" w:hAnsi="宋体" w:eastAsia="宋体" w:cs="宋体"/>
          <w:bCs/>
          <w:color w:val="auto"/>
          <w:kern w:val="2"/>
          <w:lang w:val="en-US" w:eastAsia="zh-CN"/>
        </w:rPr>
        <w:t>1</w:t>
      </w:r>
      <w:r>
        <w:rPr>
          <w:rFonts w:hint="eastAsia" w:ascii="宋体" w:hAnsi="宋体" w:eastAsia="宋体" w:cs="宋体"/>
          <w:bCs/>
          <w:color w:val="auto"/>
          <w:kern w:val="2"/>
        </w:rPr>
        <w:t>.中标</w:t>
      </w:r>
      <w:r>
        <w:rPr>
          <w:rFonts w:hint="eastAsia" w:ascii="宋体" w:hAnsi="宋体" w:cs="宋体"/>
          <w:bCs/>
          <w:color w:val="auto"/>
          <w:kern w:val="2"/>
          <w:lang w:val="en-US" w:eastAsia="zh-Hans"/>
        </w:rPr>
        <w:t>单位</w:t>
      </w:r>
      <w:r>
        <w:rPr>
          <w:rFonts w:hint="eastAsia" w:ascii="宋体" w:hAnsi="宋体" w:eastAsia="宋体" w:cs="宋体"/>
          <w:bCs/>
          <w:color w:val="auto"/>
          <w:kern w:val="2"/>
        </w:rPr>
        <w:t>须严格遵守招标人相关规章制度，及时响应其相关需求，以良好的形象和积极的工作态度开展</w:t>
      </w:r>
      <w:r>
        <w:rPr>
          <w:rFonts w:hint="eastAsia" w:ascii="宋体" w:hAnsi="宋体" w:cs="宋体"/>
          <w:bCs/>
          <w:color w:val="auto"/>
          <w:kern w:val="2"/>
          <w:lang w:eastAsia="zh-CN"/>
        </w:rPr>
        <w:t>校园新能源汽车充电服务</w:t>
      </w:r>
      <w:r>
        <w:rPr>
          <w:rFonts w:hint="eastAsia" w:ascii="宋体" w:hAnsi="宋体" w:eastAsia="宋体" w:cs="宋体"/>
          <w:bCs/>
          <w:color w:val="auto"/>
          <w:kern w:val="2"/>
        </w:rPr>
        <w:t>，确保相关设备安全正常运行，并承担相应</w:t>
      </w:r>
      <w:r>
        <w:rPr>
          <w:rFonts w:hint="eastAsia" w:ascii="宋体" w:hAnsi="宋体" w:eastAsia="宋体" w:cs="宋体"/>
          <w:bCs/>
          <w:color w:val="auto"/>
          <w:kern w:val="2"/>
          <w:lang w:val="en-US" w:eastAsia="zh-CN"/>
        </w:rPr>
        <w:t>的安全责任。</w:t>
      </w:r>
    </w:p>
    <w:p>
      <w:pPr>
        <w:pStyle w:val="30"/>
        <w:spacing w:line="360" w:lineRule="auto"/>
        <w:ind w:firstLine="480" w:firstLineChars="200"/>
        <w:rPr>
          <w:rFonts w:hint="eastAsia" w:ascii="宋体" w:hAnsi="宋体" w:eastAsia="宋体" w:cs="宋体"/>
          <w:bCs/>
          <w:color w:val="auto"/>
          <w:kern w:val="2"/>
          <w:lang w:val="en-US" w:eastAsia="zh-CN"/>
        </w:rPr>
      </w:pPr>
      <w:r>
        <w:rPr>
          <w:rFonts w:hint="eastAsia" w:ascii="宋体" w:hAnsi="宋体" w:eastAsia="宋体" w:cs="宋体"/>
          <w:bCs/>
          <w:color w:val="auto"/>
          <w:kern w:val="2"/>
          <w:lang w:val="en-US" w:eastAsia="zh-CN"/>
        </w:rPr>
        <w:t>2.因项目施工需要，对校园绿化、道路造成的损坏由中标单位负责恢复原样。</w:t>
      </w:r>
    </w:p>
    <w:p>
      <w:pPr>
        <w:pStyle w:val="30"/>
        <w:spacing w:line="360" w:lineRule="auto"/>
        <w:ind w:firstLine="480" w:firstLineChars="200"/>
        <w:rPr>
          <w:rFonts w:hint="eastAsia" w:ascii="宋体" w:hAnsi="宋体" w:eastAsia="宋体" w:cs="宋体"/>
          <w:bCs/>
          <w:color w:val="auto"/>
          <w:kern w:val="2"/>
          <w:lang w:val="en-US" w:eastAsia="zh-CN"/>
        </w:rPr>
      </w:pPr>
      <w:r>
        <w:rPr>
          <w:rFonts w:hint="eastAsia" w:ascii="宋体" w:hAnsi="宋体" w:eastAsia="宋体" w:cs="宋体"/>
          <w:bCs/>
          <w:color w:val="auto"/>
          <w:kern w:val="2"/>
          <w:lang w:val="en-US" w:eastAsia="zh-CN"/>
        </w:rPr>
        <w:t>3.服务期满后</w:t>
      </w:r>
      <w:r>
        <w:rPr>
          <w:rFonts w:hint="eastAsia" w:ascii="宋体" w:hAnsi="宋体" w:eastAsia="宋体" w:cs="宋体"/>
          <w:sz w:val="24"/>
          <w:lang w:val="en-US" w:eastAsia="zh-CN"/>
        </w:rPr>
        <w:t>如不再续约，则</w:t>
      </w:r>
      <w:r>
        <w:rPr>
          <w:rFonts w:hint="eastAsia" w:ascii="宋体" w:hAnsi="宋体" w:cs="宋体"/>
          <w:sz w:val="24"/>
          <w:lang w:val="en-US" w:eastAsia="zh-Hans"/>
        </w:rPr>
        <w:t>中标单位</w:t>
      </w:r>
      <w:r>
        <w:rPr>
          <w:rFonts w:hint="eastAsia" w:ascii="宋体" w:hAnsi="宋体" w:eastAsia="宋体" w:cs="宋体"/>
          <w:sz w:val="24"/>
          <w:lang w:val="en-US" w:eastAsia="zh-CN"/>
        </w:rPr>
        <w:t>自行拆走充电设备</w:t>
      </w:r>
      <w:r>
        <w:rPr>
          <w:rFonts w:hint="eastAsia" w:ascii="宋体" w:hAnsi="宋体" w:cs="宋体"/>
          <w:sz w:val="24"/>
          <w:lang w:val="en-US" w:eastAsia="zh-CN"/>
        </w:rPr>
        <w:t>（不包括电缆）</w:t>
      </w:r>
      <w:r>
        <w:rPr>
          <w:rFonts w:hint="eastAsia"/>
          <w:lang w:eastAsia="zh-CN"/>
        </w:rPr>
        <w:t>。</w:t>
      </w:r>
    </w:p>
    <w:p>
      <w:pPr>
        <w:spacing w:line="360" w:lineRule="auto"/>
        <w:ind w:firstLine="578"/>
        <w:rPr>
          <w:rFonts w:hint="eastAsia" w:ascii="宋体" w:hAnsi="宋体" w:eastAsia="宋体" w:cs="宋体"/>
          <w:b/>
          <w:sz w:val="24"/>
        </w:rPr>
      </w:pPr>
      <w:r>
        <w:rPr>
          <w:rFonts w:hint="eastAsia" w:ascii="宋体" w:hAnsi="宋体" w:eastAsia="宋体" w:cs="宋体"/>
          <w:b/>
          <w:sz w:val="24"/>
        </w:rPr>
        <w:t>特别说明：</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1.投标人在投标文件中，应对采购内容及要求中所提出各项要求进行逐条逐项的响应。标示“▲”的条款为实质性条款，如有负偏离且经评标委员会认定后按无效响应处理。</w:t>
      </w:r>
    </w:p>
    <w:p>
      <w:pPr>
        <w:pStyle w:val="30"/>
        <w:spacing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2.对本</w:t>
      </w:r>
      <w:r>
        <w:rPr>
          <w:rFonts w:hint="eastAsia" w:ascii="宋体" w:hAnsi="宋体" w:eastAsia="宋体" w:cs="宋体"/>
          <w:b/>
          <w:color w:val="auto"/>
          <w:kern w:val="2"/>
          <w:lang w:val="en-US" w:eastAsia="zh-CN"/>
        </w:rPr>
        <w:t>项目</w:t>
      </w:r>
      <w:r>
        <w:rPr>
          <w:rFonts w:hint="eastAsia" w:ascii="宋体" w:hAnsi="宋体" w:eastAsia="宋体" w:cs="宋体"/>
          <w:b/>
          <w:color w:val="auto"/>
          <w:kern w:val="2"/>
        </w:rPr>
        <w:t>的响应应真实、准确，如发现有弄虚作假等内容，视为投标人弄虚作假，将导致其投标无效。</w:t>
      </w:r>
    </w:p>
    <w:p>
      <w:pPr>
        <w:spacing w:line="360" w:lineRule="auto"/>
        <w:jc w:val="both"/>
        <w:outlineLvl w:val="0"/>
        <w:rPr>
          <w:rStyle w:val="26"/>
          <w:rFonts w:hint="eastAsia" w:ascii="宋体" w:hAnsi="宋体" w:eastAsia="宋体" w:cs="宋体"/>
        </w:rPr>
      </w:pPr>
    </w:p>
    <w:bookmarkEnd w:id="8"/>
    <w:p>
      <w:pPr>
        <w:spacing w:line="440" w:lineRule="exact"/>
        <w:jc w:val="center"/>
        <w:rPr>
          <w:rFonts w:hint="eastAsia" w:ascii="宋体" w:hAnsi="宋体" w:eastAsia="宋体" w:cs="宋体"/>
          <w:b/>
          <w:sz w:val="32"/>
          <w:szCs w:val="32"/>
        </w:rPr>
      </w:pPr>
      <w:bookmarkStart w:id="9" w:name="_Toc5442"/>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第四章  合同主要条款</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（以下为衢州学院</w:t>
      </w:r>
      <w:r>
        <w:rPr>
          <w:rFonts w:hint="eastAsia" w:ascii="宋体" w:hAnsi="宋体" w:cs="宋体"/>
          <w:sz w:val="24"/>
          <w:lang w:eastAsia="zh-CN"/>
        </w:rPr>
        <w:t>校园新能源汽车充电服务</w:t>
      </w:r>
      <w:r>
        <w:rPr>
          <w:rFonts w:hint="eastAsia" w:ascii="宋体" w:hAnsi="宋体" w:eastAsia="宋体" w:cs="宋体"/>
          <w:sz w:val="24"/>
        </w:rPr>
        <w:t>项目合同范本。协议条款的具体内容应严格按照招标文件、投标文件、中标结果的要求，以及双方达成的一致意见拟订。）</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甲  方：衢州学院                     乙  方：</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联系人：                             联系人：</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电  话：                             电  话：</w:t>
      </w:r>
    </w:p>
    <w:p>
      <w:pPr>
        <w:spacing w:line="440" w:lineRule="exact"/>
        <w:ind w:firstLine="480" w:firstLineChars="200"/>
        <w:jc w:val="right"/>
        <w:rPr>
          <w:rFonts w:hint="eastAsia" w:ascii="宋体" w:hAnsi="宋体" w:eastAsia="宋体" w:cs="宋体"/>
          <w:sz w:val="24"/>
        </w:rPr>
      </w:pPr>
      <w:r>
        <w:rPr>
          <w:rFonts w:hint="eastAsia" w:ascii="宋体" w:hAnsi="宋体" w:eastAsia="宋体" w:cs="宋体"/>
          <w:sz w:val="24"/>
        </w:rPr>
        <w:t>签约地点：浙江衢州</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一、服务内容：</w:t>
      </w:r>
    </w:p>
    <w:p>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新能源汽车</w:t>
      </w:r>
      <w:r>
        <w:rPr>
          <w:rFonts w:hint="eastAsia" w:ascii="宋体" w:hAnsi="宋体" w:eastAsia="宋体" w:cs="宋体"/>
          <w:sz w:val="24"/>
        </w:rPr>
        <w:t>充电</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甲方</w:t>
      </w:r>
      <w:r>
        <w:rPr>
          <w:rFonts w:hint="eastAsia" w:ascii="宋体" w:hAnsi="宋体" w:eastAsia="宋体" w:cs="宋体"/>
          <w:sz w:val="24"/>
        </w:rPr>
        <w:t>指定地点安装</w:t>
      </w:r>
      <w:r>
        <w:rPr>
          <w:rFonts w:hint="eastAsia" w:ascii="宋体" w:hAnsi="宋体" w:cs="宋体"/>
          <w:sz w:val="24"/>
          <w:lang w:eastAsia="zh-CN"/>
        </w:rPr>
        <w:t>新能源汽车</w:t>
      </w:r>
      <w:r>
        <w:rPr>
          <w:rFonts w:hint="eastAsia" w:ascii="宋体" w:hAnsi="宋体" w:eastAsia="宋体" w:cs="宋体"/>
          <w:sz w:val="24"/>
        </w:rPr>
        <w:t>充电桩（包括但不限于场地、线路改造费、机器购置费等），</w:t>
      </w:r>
      <w:r>
        <w:rPr>
          <w:rFonts w:hint="eastAsia" w:ascii="宋体" w:hAnsi="宋体" w:cs="宋体"/>
          <w:sz w:val="24"/>
          <w:lang w:val="en-US" w:eastAsia="zh-Hans"/>
        </w:rPr>
        <w:t>一机双枪</w:t>
      </w:r>
      <w:r>
        <w:rPr>
          <w:rFonts w:hint="default" w:ascii="宋体" w:hAnsi="宋体" w:cs="宋体"/>
          <w:sz w:val="24"/>
          <w:lang w:eastAsia="zh-Hans"/>
        </w:rPr>
        <w:t>。</w:t>
      </w:r>
      <w:r>
        <w:rPr>
          <w:rFonts w:hint="eastAsia" w:ascii="宋体" w:hAnsi="宋体" w:eastAsia="宋体" w:cs="宋体"/>
          <w:sz w:val="24"/>
        </w:rPr>
        <w:t>具体地点：校园内</w:t>
      </w:r>
      <w:r>
        <w:rPr>
          <w:rFonts w:hint="eastAsia" w:ascii="宋体" w:hAnsi="宋体" w:cs="宋体"/>
          <w:sz w:val="24"/>
          <w:lang w:val="en-US" w:eastAsia="zh-CN"/>
        </w:rPr>
        <w:t>指定</w:t>
      </w:r>
      <w:r>
        <w:rPr>
          <w:rFonts w:hint="eastAsia" w:ascii="宋体" w:hAnsi="宋体" w:eastAsia="宋体" w:cs="宋体"/>
          <w:sz w:val="24"/>
        </w:rPr>
        <w:t>机动车停车</w:t>
      </w:r>
      <w:r>
        <w:rPr>
          <w:rFonts w:hint="eastAsia" w:ascii="宋体" w:hAnsi="宋体" w:cs="宋体"/>
          <w:sz w:val="24"/>
          <w:lang w:val="en-US" w:eastAsia="zh-CN"/>
        </w:rPr>
        <w:t>位20个（9号学生公寓北侧停车场6个、大会堂南侧停车场4个、实训中心南侧停车场4个、田径场东侧停车场6个）</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w:t>
      </w:r>
      <w:r>
        <w:rPr>
          <w:rFonts w:hint="eastAsia" w:ascii="宋体" w:hAnsi="宋体" w:cs="宋体"/>
          <w:sz w:val="24"/>
          <w:lang w:val="en-US" w:eastAsia="zh-CN"/>
        </w:rPr>
        <w:t>按</w:t>
      </w:r>
      <w:r>
        <w:rPr>
          <w:rFonts w:hint="eastAsia" w:ascii="宋体" w:hAnsi="宋体" w:cs="宋体"/>
          <w:sz w:val="24"/>
          <w:u w:val="single"/>
          <w:lang w:val="en-US" w:eastAsia="zh-CN"/>
        </w:rPr>
        <w:t xml:space="preserve">    </w:t>
      </w:r>
      <w:r>
        <w:rPr>
          <w:rFonts w:hint="eastAsia" w:ascii="宋体" w:hAnsi="宋体" w:cs="宋体"/>
          <w:sz w:val="24"/>
          <w:lang w:val="en-US" w:eastAsia="zh-CN"/>
        </w:rPr>
        <w:t>元/度收取</w:t>
      </w:r>
      <w:r>
        <w:rPr>
          <w:rFonts w:hint="eastAsia" w:ascii="宋体" w:hAnsi="宋体" w:cs="宋体"/>
          <w:sz w:val="24"/>
          <w:lang w:eastAsia="zh-CN"/>
        </w:rPr>
        <w:t>新能源汽车</w:t>
      </w:r>
      <w:r>
        <w:rPr>
          <w:rFonts w:hint="eastAsia" w:ascii="宋体" w:hAnsi="宋体" w:eastAsia="宋体" w:cs="宋体"/>
          <w:sz w:val="24"/>
        </w:rPr>
        <w:t>充电服务费。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乙方须</w:t>
      </w:r>
      <w:r>
        <w:rPr>
          <w:rFonts w:hint="eastAsia" w:ascii="宋体" w:hAnsi="宋体" w:eastAsia="宋体" w:cs="宋体"/>
          <w:sz w:val="24"/>
        </w:rPr>
        <w:t>做好</w:t>
      </w:r>
      <w:r>
        <w:rPr>
          <w:rFonts w:hint="eastAsia" w:ascii="宋体" w:hAnsi="宋体" w:cs="宋体"/>
          <w:sz w:val="24"/>
          <w:lang w:val="en-US" w:eastAsia="zh-CN"/>
        </w:rPr>
        <w:t>新能源汽车</w:t>
      </w:r>
      <w:r>
        <w:rPr>
          <w:rFonts w:hint="eastAsia" w:ascii="宋体" w:hAnsi="宋体" w:eastAsia="宋体" w:cs="宋体"/>
          <w:sz w:val="24"/>
        </w:rPr>
        <w:t>充电桩的维护、</w:t>
      </w:r>
      <w:r>
        <w:rPr>
          <w:rFonts w:hint="eastAsia" w:ascii="宋体" w:hAnsi="宋体" w:cs="宋体"/>
          <w:sz w:val="24"/>
          <w:lang w:val="en-US" w:eastAsia="zh-Hans"/>
        </w:rPr>
        <w:t>运</w:t>
      </w:r>
      <w:r>
        <w:rPr>
          <w:rFonts w:hint="eastAsia" w:ascii="宋体" w:hAnsi="宋体" w:eastAsia="宋体" w:cs="宋体"/>
          <w:sz w:val="24"/>
        </w:rPr>
        <w:t>营服务、售后等工作。</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二、项目</w:t>
      </w:r>
      <w:r>
        <w:rPr>
          <w:rFonts w:hint="eastAsia" w:ascii="宋体" w:hAnsi="宋体" w:cs="宋体"/>
          <w:b/>
          <w:bCs/>
          <w:sz w:val="24"/>
          <w:lang w:val="en-US" w:eastAsia="zh-Hans"/>
        </w:rPr>
        <w:t>服务</w:t>
      </w:r>
      <w:r>
        <w:rPr>
          <w:rFonts w:hint="eastAsia" w:ascii="宋体" w:hAnsi="宋体" w:eastAsia="宋体" w:cs="宋体"/>
          <w:b/>
          <w:bCs/>
          <w:sz w:val="24"/>
        </w:rPr>
        <w:t>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乙方</w:t>
      </w:r>
      <w:r>
        <w:rPr>
          <w:rFonts w:hint="eastAsia" w:ascii="宋体" w:hAnsi="宋体" w:eastAsia="宋体" w:cs="宋体"/>
          <w:sz w:val="24"/>
        </w:rPr>
        <w:t>投资</w:t>
      </w:r>
      <w:r>
        <w:rPr>
          <w:rFonts w:hint="eastAsia" w:ascii="宋体" w:hAnsi="宋体" w:cs="宋体"/>
          <w:sz w:val="24"/>
          <w:lang w:eastAsia="zh-CN"/>
        </w:rPr>
        <w:t>新能源汽车</w:t>
      </w:r>
      <w:r>
        <w:rPr>
          <w:rFonts w:hint="eastAsia" w:ascii="宋体" w:hAnsi="宋体" w:eastAsia="宋体" w:cs="宋体"/>
          <w:sz w:val="24"/>
        </w:rPr>
        <w:t>充电桩设备，要求对服务区域进行</w:t>
      </w:r>
      <w:r>
        <w:rPr>
          <w:rFonts w:hint="eastAsia" w:ascii="宋体" w:hAnsi="宋体" w:cs="宋体"/>
          <w:sz w:val="24"/>
          <w:lang w:val="en-US" w:eastAsia="zh-Hans"/>
        </w:rPr>
        <w:t>建设</w:t>
      </w:r>
      <w:r>
        <w:rPr>
          <w:rFonts w:hint="eastAsia" w:ascii="宋体" w:hAnsi="宋体" w:eastAsia="宋体" w:cs="宋体"/>
          <w:sz w:val="24"/>
        </w:rPr>
        <w:t>改造，包含</w:t>
      </w:r>
      <w:r>
        <w:rPr>
          <w:rFonts w:hint="eastAsia" w:ascii="宋体" w:hAnsi="宋体" w:cs="宋体"/>
          <w:sz w:val="24"/>
          <w:lang w:val="en-US" w:eastAsia="zh-Hans"/>
        </w:rPr>
        <w:t>服务</w:t>
      </w:r>
      <w:r>
        <w:rPr>
          <w:rFonts w:hint="eastAsia" w:ascii="宋体" w:hAnsi="宋体" w:eastAsia="宋体" w:cs="宋体"/>
          <w:sz w:val="24"/>
        </w:rPr>
        <w:t>所需的所有硬件及软件设施，</w:t>
      </w:r>
      <w:r>
        <w:rPr>
          <w:rFonts w:hint="eastAsia" w:ascii="宋体" w:hAnsi="宋体" w:eastAsia="宋体" w:cs="宋体"/>
          <w:sz w:val="24"/>
          <w:lang w:eastAsia="zh-CN"/>
        </w:rPr>
        <w:t>乙方</w:t>
      </w:r>
      <w:r>
        <w:rPr>
          <w:rFonts w:hint="eastAsia" w:ascii="宋体" w:hAnsi="宋体" w:eastAsia="宋体" w:cs="宋体"/>
          <w:sz w:val="24"/>
        </w:rPr>
        <w:t>按期向</w:t>
      </w:r>
      <w:r>
        <w:rPr>
          <w:rFonts w:hint="eastAsia" w:ascii="宋体" w:hAnsi="宋体" w:eastAsia="宋体" w:cs="宋体"/>
          <w:sz w:val="24"/>
          <w:lang w:eastAsia="zh-CN"/>
        </w:rPr>
        <w:t>甲方</w:t>
      </w:r>
      <w:r>
        <w:rPr>
          <w:rFonts w:hint="eastAsia" w:ascii="宋体" w:hAnsi="宋体" w:eastAsia="宋体" w:cs="宋体"/>
          <w:sz w:val="24"/>
        </w:rPr>
        <w:t>缴纳</w:t>
      </w:r>
      <w:r>
        <w:rPr>
          <w:rFonts w:hint="eastAsia" w:ascii="宋体" w:hAnsi="宋体" w:cs="宋体"/>
          <w:sz w:val="24"/>
          <w:lang w:eastAsia="zh-CN"/>
        </w:rPr>
        <w:t>电费</w:t>
      </w:r>
      <w:r>
        <w:rPr>
          <w:rFonts w:hint="eastAsia" w:ascii="宋体" w:hAnsi="宋体" w:eastAsia="宋体" w:cs="宋体"/>
          <w:sz w:val="24"/>
        </w:rPr>
        <w:t>，师生自助消费、自助结算。</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三、项目</w:t>
      </w:r>
      <w:r>
        <w:rPr>
          <w:rFonts w:hint="eastAsia" w:ascii="宋体" w:hAnsi="宋体" w:cs="宋体"/>
          <w:b/>
          <w:bCs/>
          <w:sz w:val="24"/>
          <w:lang w:val="en-US" w:eastAsia="zh-Hans"/>
        </w:rPr>
        <w:t>服务</w:t>
      </w:r>
      <w:r>
        <w:rPr>
          <w:rFonts w:hint="eastAsia" w:ascii="宋体" w:hAnsi="宋体" w:eastAsia="宋体" w:cs="宋体"/>
          <w:b/>
          <w:bCs/>
          <w:sz w:val="24"/>
        </w:rPr>
        <w:t>期限</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9</w:t>
      </w:r>
      <w:r>
        <w:rPr>
          <w:rFonts w:hint="eastAsia" w:ascii="宋体" w:hAnsi="宋体" w:eastAsia="宋体" w:cs="宋体"/>
          <w:sz w:val="24"/>
        </w:rPr>
        <w:t>月</w:t>
      </w:r>
      <w:r>
        <w:rPr>
          <w:rFonts w:hint="eastAsia" w:ascii="宋体" w:hAnsi="宋体" w:cs="宋体"/>
          <w:sz w:val="24"/>
          <w:lang w:val="en-US" w:eastAsia="zh-CN"/>
        </w:rPr>
        <w:t>10</w:t>
      </w:r>
      <w:bookmarkStart w:id="30" w:name="_GoBack"/>
      <w:bookmarkEnd w:id="30"/>
      <w:r>
        <w:rPr>
          <w:rFonts w:hint="eastAsia" w:ascii="宋体" w:hAnsi="宋体" w:eastAsia="宋体" w:cs="宋体"/>
          <w:sz w:val="24"/>
        </w:rPr>
        <w:t>日-20</w:t>
      </w:r>
      <w:r>
        <w:rPr>
          <w:rFonts w:hint="eastAsia" w:ascii="宋体" w:hAnsi="宋体" w:cs="宋体"/>
          <w:sz w:val="24"/>
          <w:lang w:val="en-US" w:eastAsia="zh-CN"/>
        </w:rPr>
        <w:t>27</w:t>
      </w:r>
      <w:r>
        <w:rPr>
          <w:rFonts w:hint="eastAsia" w:ascii="宋体" w:hAnsi="宋体" w:eastAsia="宋体" w:cs="宋体"/>
          <w:sz w:val="24"/>
        </w:rPr>
        <w:t>年7月</w:t>
      </w:r>
      <w:r>
        <w:rPr>
          <w:rFonts w:hint="eastAsia" w:ascii="宋体" w:hAnsi="宋体" w:cs="宋体"/>
          <w:sz w:val="24"/>
          <w:lang w:val="en-US" w:eastAsia="zh-CN"/>
        </w:rPr>
        <w:t>31</w:t>
      </w:r>
      <w:r>
        <w:rPr>
          <w:rFonts w:hint="eastAsia" w:ascii="宋体" w:hAnsi="宋体" w:eastAsia="宋体" w:cs="宋体"/>
          <w:sz w:val="24"/>
        </w:rPr>
        <w:t>日。</w:t>
      </w:r>
      <w:r>
        <w:rPr>
          <w:rFonts w:hint="eastAsia" w:ascii="宋体" w:hAnsi="宋体" w:eastAsia="宋体" w:cs="宋体"/>
          <w:kern w:val="0"/>
          <w:sz w:val="24"/>
          <w:lang w:val="en-US" w:eastAsia="zh-CN"/>
        </w:rPr>
        <w:t>合同</w:t>
      </w:r>
      <w:r>
        <w:rPr>
          <w:rFonts w:hint="eastAsia" w:ascii="宋体" w:hAnsi="宋体" w:cs="宋体"/>
          <w:kern w:val="0"/>
          <w:sz w:val="24"/>
          <w:lang w:val="en-US" w:eastAsia="zh-CN"/>
        </w:rPr>
        <w:t>一</w:t>
      </w:r>
      <w:r>
        <w:rPr>
          <w:rFonts w:hint="eastAsia" w:ascii="宋体" w:hAnsi="宋体" w:eastAsia="宋体" w:cs="宋体"/>
          <w:kern w:val="0"/>
          <w:sz w:val="24"/>
          <w:lang w:val="en-US" w:eastAsia="zh-CN"/>
        </w:rPr>
        <w:t>年一签</w:t>
      </w:r>
      <w:r>
        <w:rPr>
          <w:rFonts w:hint="eastAsia" w:ascii="宋体" w:hAnsi="宋体" w:cs="宋体"/>
          <w:kern w:val="0"/>
          <w:sz w:val="24"/>
          <w:lang w:val="en-US" w:eastAsia="zh-CN"/>
        </w:rPr>
        <w:t>，</w:t>
      </w:r>
      <w:r>
        <w:rPr>
          <w:rFonts w:hint="eastAsia" w:ascii="宋体" w:hAnsi="宋体" w:cs="宋体"/>
          <w:kern w:val="0"/>
          <w:sz w:val="24"/>
          <w:lang w:val="en-US" w:eastAsia="zh-Hans"/>
        </w:rPr>
        <w:t>服务</w:t>
      </w:r>
      <w:r>
        <w:rPr>
          <w:rFonts w:hint="eastAsia" w:ascii="宋体" w:hAnsi="宋体" w:eastAsia="宋体" w:cs="宋体"/>
          <w:sz w:val="24"/>
          <w:lang w:val="en-US" w:eastAsia="zh-CN"/>
        </w:rPr>
        <w:t>期满后如不再续约，则乙方自行拆走充电设备</w:t>
      </w:r>
      <w:r>
        <w:rPr>
          <w:rFonts w:hint="eastAsia" w:ascii="宋体" w:hAnsi="宋体" w:cs="宋体"/>
          <w:sz w:val="24"/>
          <w:lang w:val="en-US" w:eastAsia="zh-CN"/>
        </w:rPr>
        <w:t>（不包括电缆）</w:t>
      </w:r>
      <w:r>
        <w:rPr>
          <w:rFonts w:hint="eastAsia" w:ascii="宋体" w:hAnsi="宋体" w:eastAsia="宋体" w:cs="宋体"/>
          <w:sz w:val="24"/>
          <w:lang w:val="en-US" w:eastAsia="zh-CN"/>
        </w:rPr>
        <w:t>，恢复场地。</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四、项目</w:t>
      </w:r>
      <w:r>
        <w:rPr>
          <w:rFonts w:hint="eastAsia" w:ascii="宋体" w:hAnsi="宋体" w:cs="宋体"/>
          <w:b/>
          <w:bCs/>
          <w:sz w:val="24"/>
          <w:lang w:eastAsia="zh-CN"/>
        </w:rPr>
        <w:t>电费</w:t>
      </w:r>
      <w:r>
        <w:rPr>
          <w:rFonts w:hint="eastAsia" w:ascii="宋体" w:hAnsi="宋体" w:eastAsia="宋体" w:cs="宋体"/>
          <w:b/>
          <w:bCs/>
          <w:sz w:val="24"/>
        </w:rPr>
        <w:t>及结算方式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乙方履行合作经营合同，每半年一次按</w:t>
      </w:r>
      <w:r>
        <w:rPr>
          <w:rFonts w:hint="eastAsia" w:ascii="宋体" w:hAnsi="宋体" w:eastAsia="宋体" w:cs="宋体"/>
          <w:sz w:val="24"/>
          <w:lang w:val="en-US" w:eastAsia="zh-CN"/>
        </w:rPr>
        <w:t>0.54</w:t>
      </w:r>
      <w:r>
        <w:rPr>
          <w:rFonts w:hint="eastAsia" w:ascii="宋体" w:hAnsi="宋体" w:eastAsia="宋体" w:cs="宋体"/>
          <w:sz w:val="24"/>
        </w:rPr>
        <w:t>元/度向甲方缴纳电费，合同期内电费的价格随</w:t>
      </w:r>
      <w:r>
        <w:rPr>
          <w:rFonts w:hint="eastAsia" w:ascii="宋体" w:hAnsi="宋体" w:cs="宋体"/>
          <w:kern w:val="0"/>
          <w:sz w:val="24"/>
          <w:lang w:val="en-US" w:eastAsia="zh-Hans"/>
        </w:rPr>
        <w:t>国网供电公司收取学校用电标准</w:t>
      </w:r>
      <w:r>
        <w:rPr>
          <w:rFonts w:hint="eastAsia" w:ascii="宋体" w:hAnsi="宋体" w:eastAsia="宋体" w:cs="宋体"/>
          <w:kern w:val="0"/>
          <w:sz w:val="24"/>
        </w:rPr>
        <w:t>的价格变动</w:t>
      </w:r>
      <w:r>
        <w:rPr>
          <w:rFonts w:hint="eastAsia" w:ascii="宋体" w:hAnsi="宋体" w:eastAsia="宋体" w:cs="宋体"/>
          <w:sz w:val="24"/>
        </w:rPr>
        <w:t>作相应的调整。</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五、违约责任</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1.乙方逾期缴纳</w:t>
      </w:r>
      <w:r>
        <w:rPr>
          <w:rFonts w:hint="eastAsia" w:ascii="宋体" w:hAnsi="宋体" w:eastAsia="宋体" w:cs="宋体"/>
          <w:sz w:val="24"/>
          <w:lang w:eastAsia="zh-CN"/>
        </w:rPr>
        <w:t>电费</w:t>
      </w:r>
      <w:r>
        <w:rPr>
          <w:rFonts w:hint="eastAsia" w:ascii="宋体" w:hAnsi="宋体" w:eastAsia="宋体" w:cs="宋体"/>
          <w:sz w:val="24"/>
        </w:rPr>
        <w:t>，超过7天甲方有权切断供电，超过1个月甲方有权解除合同。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2.乙方未经甲方允许擅自调整服务收费价格，每发现一次处500元罚款，超过2次，甲方有权解除合同。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.乙方维护不到位，服务态度</w:t>
      </w:r>
      <w:r>
        <w:rPr>
          <w:rFonts w:hint="eastAsia" w:ascii="宋体" w:hAnsi="宋体" w:cs="宋体"/>
          <w:sz w:val="24"/>
          <w:lang w:val="en-US" w:eastAsia="zh-CN"/>
        </w:rPr>
        <w:t>差，</w:t>
      </w:r>
      <w:r>
        <w:rPr>
          <w:rFonts w:hint="eastAsia" w:ascii="宋体" w:hAnsi="宋体" w:eastAsia="宋体" w:cs="宋体"/>
          <w:sz w:val="24"/>
        </w:rPr>
        <w:t>受到师生书面投诉，经查证属实的，每发生一起处500元罚款，超过2次，甲方有权解除合同。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.乙方擅自超范围经营、转包、分包，增加、减少</w:t>
      </w:r>
      <w:r>
        <w:rPr>
          <w:rFonts w:hint="eastAsia" w:ascii="宋体" w:hAnsi="宋体" w:cs="宋体"/>
          <w:sz w:val="24"/>
          <w:lang w:val="en-US" w:eastAsia="zh-CN"/>
        </w:rPr>
        <w:t>新能源汽车</w:t>
      </w:r>
      <w:r>
        <w:rPr>
          <w:rFonts w:hint="eastAsia" w:ascii="宋体" w:hAnsi="宋体" w:eastAsia="宋体" w:cs="宋体"/>
          <w:sz w:val="24"/>
        </w:rPr>
        <w:t>充电桩数量的，甲方有权立即解除合同。</w:t>
      </w:r>
    </w:p>
    <w:p>
      <w:pPr>
        <w:spacing w:line="44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.乙方无故解除合同，今后不得参与甲方的任何采购活动，并报告相关行政管理机构备案。</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六、免责条件</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1.在执行合同期限内，任何一方因不可抗力事件所致不能履行合同，则合同履行期可延长，延长期与不可抗力影响期相同。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2.不可抗力事件发生后，应立即通知对方，并寄送有关权威机构出具的证明。 </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3.不可抗力事件延续60天以上，双方应通过友好协商，确定是否继续履行合同。</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七、解决纠纷方式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1.在执行本合同过程中，甲乙双方享有同等权利，在服务问题时，甲方有权直接向乙方索赔，签订必要的书面处理协议。</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2.如双方协商不成，任何一方有权在合同签约地选择仲裁的途径解决，也可直接向合同签约地的人民法院起诉。</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八、其他</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1.本合同一式肆份，甲方叁份，乙方壹份。附件为本合同一部分，具有同等法律效力。附件含甲方的采购文件、乙方的响应文件及乙方承诺书。</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2.本合同自双方授权代表签字、盖章之日起生效。合同执行期内，甲乙双方均不得随意变更或解除合同。合同如有未尽事宜，须经双方共同协商，做出补充规定，补充规定与合同具有同等效力。</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.解释权：凡涉及本次招标文件的解释权均属于衢州学院后勤管理处。</w:t>
      </w:r>
    </w:p>
    <w:p>
      <w:pPr>
        <w:spacing w:line="440" w:lineRule="exact"/>
        <w:ind w:firstLine="480" w:firstLineChars="200"/>
        <w:jc w:val="left"/>
        <w:rPr>
          <w:rFonts w:hint="eastAsia" w:ascii="宋体" w:hAnsi="宋体" w:eastAsia="宋体" w:cs="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甲方：衢州学院                 </w:t>
      </w:r>
      <w:r>
        <w:rPr>
          <w:rFonts w:hint="eastAsia" w:ascii="宋体" w:hAnsi="宋体"/>
          <w:sz w:val="24"/>
          <w:lang w:val="en-US" w:eastAsia="zh-CN"/>
        </w:rPr>
        <w:t xml:space="preserve">   </w:t>
      </w:r>
      <w:r>
        <w:rPr>
          <w:rFonts w:hint="eastAsia" w:ascii="宋体" w:hAnsi="宋体"/>
          <w:sz w:val="24"/>
        </w:rPr>
        <w:t xml:space="preserve">乙方： </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spacing w:line="360" w:lineRule="auto"/>
        <w:ind w:firstLine="480"/>
        <w:rPr>
          <w:rFonts w:hint="eastAsia" w:ascii="宋体" w:hAnsi="宋体"/>
          <w:color w:val="000000"/>
          <w:sz w:val="24"/>
          <w:szCs w:val="22"/>
        </w:rPr>
      </w:pPr>
    </w:p>
    <w:p>
      <w:pPr>
        <w:spacing w:line="360" w:lineRule="auto"/>
        <w:ind w:firstLine="480"/>
        <w:rPr>
          <w:rFonts w:ascii="宋体" w:hAnsi="宋体"/>
          <w:color w:val="000000"/>
          <w:sz w:val="24"/>
          <w:szCs w:val="22"/>
        </w:rPr>
      </w:pPr>
      <w:r>
        <w:rPr>
          <w:rFonts w:hint="eastAsia" w:ascii="宋体" w:hAnsi="宋体"/>
          <w:color w:val="000000"/>
          <w:sz w:val="24"/>
          <w:szCs w:val="22"/>
        </w:rPr>
        <w:t>法定代表人或授权代表(签字)：　　　法定代表人或授权代表(签字)：</w:t>
      </w:r>
    </w:p>
    <w:p>
      <w:pPr>
        <w:spacing w:line="360" w:lineRule="auto"/>
        <w:ind w:firstLine="480" w:firstLineChars="200"/>
        <w:jc w:val="right"/>
        <w:rPr>
          <w:rFonts w:hint="eastAsia" w:ascii="宋体" w:hAnsi="宋体" w:cs="宋体"/>
          <w:color w:val="000000"/>
          <w:sz w:val="24"/>
        </w:rPr>
      </w:pPr>
    </w:p>
    <w:p>
      <w:pPr>
        <w:spacing w:line="360" w:lineRule="auto"/>
        <w:ind w:firstLine="480" w:firstLineChars="200"/>
        <w:jc w:val="right"/>
        <w:rPr>
          <w:rFonts w:ascii="宋体" w:hAnsi="宋体" w:cs="宋体"/>
          <w:color w:val="000000"/>
          <w:sz w:val="24"/>
        </w:rPr>
      </w:pPr>
      <w:r>
        <w:rPr>
          <w:rFonts w:hint="eastAsia" w:ascii="宋体" w:hAnsi="宋体" w:cs="宋体"/>
          <w:color w:val="000000"/>
          <w:sz w:val="24"/>
        </w:rPr>
        <w:t>合同签订日期：　 年　月　日</w:t>
      </w:r>
    </w:p>
    <w:p>
      <w:pPr>
        <w:spacing w:line="360" w:lineRule="auto"/>
        <w:ind w:firstLine="480" w:firstLineChars="200"/>
        <w:jc w:val="left"/>
        <w:rPr>
          <w:rStyle w:val="26"/>
          <w:rFonts w:hint="eastAsia" w:ascii="宋体" w:hAnsi="宋体" w:eastAsia="宋体" w:cs="宋体"/>
        </w:rPr>
      </w:pPr>
      <w:r>
        <w:rPr>
          <w:rFonts w:hint="eastAsia" w:ascii="宋体" w:hAnsi="宋体" w:cs="宋体"/>
          <w:color w:val="000000"/>
          <w:sz w:val="24"/>
        </w:rPr>
        <w:t>本合同均为打印版本，未加盖甲方公章的手写部分无效。　　</w:t>
      </w:r>
    </w:p>
    <w:p>
      <w:pPr>
        <w:keepNext w:val="0"/>
        <w:keepLines w:val="0"/>
        <w:pageBreakBefore w:val="0"/>
        <w:widowControl w:val="0"/>
        <w:kinsoku/>
        <w:wordWrap/>
        <w:overflowPunct/>
        <w:topLinePunct w:val="0"/>
        <w:bidi w:val="0"/>
        <w:spacing w:line="360" w:lineRule="auto"/>
        <w:jc w:val="center"/>
        <w:textAlignment w:val="auto"/>
        <w:outlineLvl w:val="0"/>
        <w:rPr>
          <w:rStyle w:val="26"/>
          <w:rFonts w:hint="eastAsia" w:ascii="宋体" w:hAnsi="宋体" w:eastAsia="宋体" w:cs="宋体"/>
        </w:rPr>
      </w:pPr>
    </w:p>
    <w:p>
      <w:pPr>
        <w:keepNext w:val="0"/>
        <w:keepLines w:val="0"/>
        <w:pageBreakBefore w:val="0"/>
        <w:widowControl w:val="0"/>
        <w:kinsoku/>
        <w:wordWrap/>
        <w:overflowPunct/>
        <w:topLinePunct w:val="0"/>
        <w:bidi w:val="0"/>
        <w:spacing w:line="360" w:lineRule="auto"/>
        <w:jc w:val="center"/>
        <w:textAlignment w:val="auto"/>
        <w:outlineLvl w:val="0"/>
        <w:rPr>
          <w:rStyle w:val="26"/>
          <w:rFonts w:hint="eastAsia" w:ascii="宋体" w:hAnsi="宋体" w:eastAsia="宋体" w:cs="宋体"/>
        </w:rPr>
      </w:pPr>
      <w:r>
        <w:rPr>
          <w:rStyle w:val="26"/>
          <w:rFonts w:hint="eastAsia" w:ascii="宋体" w:hAnsi="宋体" w:eastAsia="宋体" w:cs="宋体"/>
        </w:rPr>
        <w:t>第五章  评标办法及开标程序</w:t>
      </w:r>
      <w:bookmarkEnd w:id="9"/>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4.在评标过程中，评标成员不得与投标人私下交换意见。在招标工作结束后，凡与评标情况有接触的任何人不得将评标情况扩散出评标成员之外。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5.评标委员会不向落标方解释落标原因，不退还投标文件。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6.评标结束后，经公示一个工作日无异议，由采购方签发《中标通知书》。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7.如投标人总分相同，按投标报价低者为中标侯选单位。</w:t>
      </w:r>
    </w:p>
    <w:p>
      <w:pPr>
        <w:pStyle w:val="21"/>
        <w:keepNext w:val="0"/>
        <w:keepLines w:val="0"/>
        <w:pageBreakBefore w:val="0"/>
        <w:widowControl w:val="0"/>
        <w:kinsoku/>
        <w:wordWrap/>
        <w:overflowPunct/>
        <w:topLinePunct w:val="0"/>
        <w:bidi w:val="0"/>
        <w:snapToGrid w:val="0"/>
        <w:spacing w:line="360" w:lineRule="auto"/>
        <w:ind w:firstLine="482"/>
        <w:textAlignment w:val="auto"/>
        <w:rPr>
          <w:rFonts w:hint="eastAsia" w:ascii="宋体" w:hAnsi="宋体" w:eastAsia="宋体" w:cs="宋体"/>
          <w:sz w:val="24"/>
        </w:rPr>
      </w:pPr>
      <w:r>
        <w:rPr>
          <w:rFonts w:hint="eastAsia" w:ascii="宋体" w:hAnsi="宋体" w:eastAsia="宋体" w:cs="宋体"/>
          <w:bCs/>
          <w:sz w:val="24"/>
        </w:rPr>
        <w:t>8.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三、评定内容及评标标准</w:t>
      </w:r>
    </w:p>
    <w:tbl>
      <w:tblPr>
        <w:tblStyle w:val="17"/>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63"/>
        <w:gridCol w:w="6550"/>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pPr>
              <w:widowControl/>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报价</w:t>
            </w:r>
          </w:p>
          <w:p>
            <w:pPr>
              <w:widowControl/>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得分</w:t>
            </w:r>
          </w:p>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0分</w:t>
            </w:r>
          </w:p>
        </w:tc>
        <w:tc>
          <w:tcPr>
            <w:tcW w:w="1763" w:type="dxa"/>
            <w:noWrap w:val="0"/>
            <w:vAlign w:val="center"/>
          </w:tcPr>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color w:val="000000"/>
                <w:sz w:val="24"/>
                <w:szCs w:val="24"/>
              </w:rPr>
              <w:t>报  价</w:t>
            </w:r>
          </w:p>
        </w:tc>
        <w:tc>
          <w:tcPr>
            <w:tcW w:w="6550" w:type="dxa"/>
            <w:noWrap w:val="0"/>
            <w:vAlign w:val="center"/>
          </w:tcPr>
          <w:p>
            <w:pPr>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bCs/>
                <w:color w:val="000000"/>
                <w:sz w:val="24"/>
                <w:szCs w:val="24"/>
              </w:rPr>
              <w:t>本次项目</w:t>
            </w:r>
            <w:r>
              <w:rPr>
                <w:rFonts w:hint="default" w:ascii="Times New Roman" w:hAnsi="Times New Roman" w:eastAsia="宋体" w:cs="Times New Roman"/>
                <w:b/>
                <w:bCs/>
                <w:color w:val="000000"/>
                <w:sz w:val="24"/>
                <w:szCs w:val="24"/>
                <w:lang w:val="en-US" w:eastAsia="zh-CN"/>
              </w:rPr>
              <w:t>最</w:t>
            </w:r>
            <w:r>
              <w:rPr>
                <w:rFonts w:hint="default" w:ascii="Times New Roman" w:hAnsi="Times New Roman" w:cs="Times New Roman"/>
                <w:b/>
                <w:bCs/>
                <w:color w:val="000000"/>
                <w:sz w:val="24"/>
                <w:szCs w:val="24"/>
                <w:lang w:val="en-US" w:eastAsia="zh-CN"/>
              </w:rPr>
              <w:t>高</w:t>
            </w:r>
            <w:r>
              <w:rPr>
                <w:rFonts w:hint="default" w:ascii="Times New Roman" w:hAnsi="Times New Roman" w:eastAsia="宋体" w:cs="Times New Roman"/>
                <w:b/>
                <w:bCs/>
                <w:color w:val="000000"/>
                <w:sz w:val="24"/>
                <w:szCs w:val="24"/>
                <w:lang w:val="en-US" w:eastAsia="zh-CN"/>
              </w:rPr>
              <w:t>报价</w:t>
            </w:r>
            <w:r>
              <w:rPr>
                <w:rFonts w:hint="default" w:ascii="Times New Roman" w:hAnsi="Times New Roman" w:eastAsia="宋体" w:cs="Times New Roman"/>
                <w:b/>
                <w:bCs/>
                <w:color w:val="000000"/>
                <w:sz w:val="24"/>
                <w:szCs w:val="24"/>
              </w:rPr>
              <w:t>：</w:t>
            </w:r>
            <w:r>
              <w:rPr>
                <w:rFonts w:hint="default" w:ascii="Times New Roman" w:hAnsi="Times New Roman" w:cs="Times New Roman"/>
                <w:b/>
                <w:bCs/>
                <w:color w:val="000000"/>
                <w:sz w:val="24"/>
                <w:szCs w:val="24"/>
                <w:lang w:val="en-US" w:eastAsia="zh-CN"/>
              </w:rPr>
              <w:t>0.8元/度</w:t>
            </w:r>
            <w:r>
              <w:rPr>
                <w:rFonts w:hint="default" w:ascii="Times New Roman" w:hAnsi="Times New Roman" w:cs="Times New Roman"/>
                <w:b/>
                <w:bCs/>
                <w:color w:val="000000"/>
                <w:sz w:val="24"/>
                <w:szCs w:val="24"/>
                <w:lang w:eastAsia="zh-CN"/>
              </w:rPr>
              <w:t>（</w:t>
            </w:r>
            <w:r>
              <w:rPr>
                <w:rFonts w:hint="default" w:ascii="Times New Roman" w:hAnsi="Times New Roman" w:cs="Times New Roman"/>
                <w:b/>
                <w:bCs/>
                <w:color w:val="000000"/>
                <w:sz w:val="24"/>
                <w:szCs w:val="24"/>
                <w:lang w:val="en-US" w:eastAsia="zh-Hans"/>
              </w:rPr>
              <w:t>含服务费</w:t>
            </w:r>
            <w:r>
              <w:rPr>
                <w:rFonts w:hint="default" w:ascii="Times New Roman" w:hAnsi="Times New Roman" w:cs="Times New Roman"/>
                <w:b/>
                <w:bCs/>
                <w:color w:val="000000"/>
                <w:sz w:val="24"/>
                <w:szCs w:val="24"/>
                <w:lang w:eastAsia="zh-Hans"/>
              </w:rPr>
              <w:t>）</w:t>
            </w:r>
            <w:r>
              <w:rPr>
                <w:rFonts w:hint="default" w:ascii="Times New Roman" w:hAnsi="Times New Roman" w:eastAsia="宋体" w:cs="Times New Roman"/>
                <w:color w:val="000000"/>
                <w:sz w:val="24"/>
                <w:szCs w:val="24"/>
              </w:rPr>
              <w:t>。基准价为所有投标人有效报价的最</w:t>
            </w:r>
            <w:r>
              <w:rPr>
                <w:rFonts w:hint="default" w:ascii="Times New Roman" w:hAnsi="Times New Roman" w:cs="Times New Roman"/>
                <w:color w:val="000000"/>
                <w:sz w:val="24"/>
                <w:szCs w:val="24"/>
                <w:lang w:val="en-US" w:eastAsia="zh-CN"/>
              </w:rPr>
              <w:t>低</w:t>
            </w:r>
            <w:r>
              <w:rPr>
                <w:rFonts w:hint="default" w:ascii="Times New Roman" w:hAnsi="Times New Roman" w:eastAsia="宋体" w:cs="Times New Roman"/>
                <w:color w:val="000000"/>
                <w:sz w:val="24"/>
                <w:szCs w:val="24"/>
              </w:rPr>
              <w:t>价，投标报价得分=(基准价/投标报价)×</w:t>
            </w:r>
            <w:r>
              <w:rPr>
                <w:rFonts w:hint="default"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rPr>
              <w:t>，四舍五入，保留两位小数。报价</w:t>
            </w:r>
            <w:r>
              <w:rPr>
                <w:rFonts w:hint="default" w:ascii="Times New Roman" w:hAnsi="Times New Roman" w:cs="Times New Roman"/>
                <w:color w:val="000000"/>
                <w:sz w:val="24"/>
                <w:szCs w:val="24"/>
                <w:lang w:val="en-US" w:eastAsia="zh-CN"/>
              </w:rPr>
              <w:t>高</w:t>
            </w:r>
            <w:r>
              <w:rPr>
                <w:rFonts w:hint="default" w:ascii="Times New Roman" w:hAnsi="Times New Roman" w:eastAsia="宋体" w:cs="Times New Roman"/>
                <w:color w:val="000000"/>
                <w:sz w:val="24"/>
                <w:szCs w:val="24"/>
              </w:rPr>
              <w:t>于</w:t>
            </w:r>
            <w:r>
              <w:rPr>
                <w:rFonts w:hint="default" w:ascii="Times New Roman" w:hAnsi="Times New Roman" w:eastAsia="宋体" w:cs="Times New Roman"/>
                <w:color w:val="000000"/>
                <w:sz w:val="24"/>
                <w:szCs w:val="24"/>
                <w:lang w:val="en-US" w:eastAsia="zh-CN"/>
              </w:rPr>
              <w:t>最</w:t>
            </w:r>
            <w:r>
              <w:rPr>
                <w:rFonts w:hint="default" w:ascii="Times New Roman" w:hAnsi="Times New Roman" w:cs="Times New Roman"/>
                <w:color w:val="000000"/>
                <w:sz w:val="24"/>
                <w:szCs w:val="24"/>
                <w:lang w:val="en-US" w:eastAsia="zh-CN"/>
              </w:rPr>
              <w:t>高</w:t>
            </w:r>
            <w:r>
              <w:rPr>
                <w:rFonts w:hint="default" w:ascii="Times New Roman" w:hAnsi="Times New Roman" w:eastAsia="宋体" w:cs="Times New Roman"/>
                <w:color w:val="000000"/>
                <w:sz w:val="24"/>
                <w:szCs w:val="24"/>
                <w:lang w:val="en-US" w:eastAsia="zh-CN"/>
              </w:rPr>
              <w:t>限价</w:t>
            </w:r>
            <w:r>
              <w:rPr>
                <w:rFonts w:hint="default" w:ascii="Times New Roman" w:hAnsi="Times New Roman" w:eastAsia="宋体" w:cs="Times New Roman"/>
                <w:color w:val="000000"/>
                <w:sz w:val="24"/>
                <w:szCs w:val="24"/>
              </w:rPr>
              <w:t>价格的，为无效投标文件。</w:t>
            </w:r>
          </w:p>
        </w:tc>
        <w:tc>
          <w:tcPr>
            <w:tcW w:w="825" w:type="dxa"/>
            <w:noWrap w:val="0"/>
            <w:vAlign w:val="center"/>
          </w:tcPr>
          <w:p>
            <w:pPr>
              <w:widowControl/>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0分</w:t>
            </w:r>
          </w:p>
        </w:tc>
        <w:tc>
          <w:tcPr>
            <w:tcW w:w="825" w:type="dxa"/>
            <w:noWrap w:val="0"/>
            <w:vAlign w:val="center"/>
          </w:tcPr>
          <w:p>
            <w:pPr>
              <w:widowControl/>
              <w:spacing w:line="360" w:lineRule="auto"/>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noWrap w:val="0"/>
            <w:vAlign w:val="center"/>
          </w:tcPr>
          <w:p>
            <w:pPr>
              <w:widowControl/>
              <w:spacing w:line="40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技术</w:t>
            </w:r>
          </w:p>
          <w:p>
            <w:pPr>
              <w:widowControl/>
              <w:spacing w:line="40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得分</w:t>
            </w:r>
          </w:p>
          <w:p>
            <w:pPr>
              <w:widowControl/>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lang w:val="en-US" w:eastAsia="zh-CN"/>
              </w:rPr>
              <w:t>90分</w:t>
            </w:r>
          </w:p>
        </w:tc>
        <w:tc>
          <w:tcPr>
            <w:tcW w:w="1763" w:type="dxa"/>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管理体系认证</w:t>
            </w:r>
          </w:p>
        </w:tc>
        <w:tc>
          <w:tcPr>
            <w:tcW w:w="65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0"/>
                <w:sz w:val="24"/>
                <w:szCs w:val="24"/>
                <w:lang w:val="en-US" w:eastAsia="zh-CN"/>
              </w:rPr>
              <w:t>投标人具备</w:t>
            </w:r>
            <w:r>
              <w:rPr>
                <w:rFonts w:hint="default" w:ascii="Times New Roman" w:hAnsi="Times New Roman" w:eastAsia="宋体" w:cs="Times New Roman"/>
                <w:kern w:val="0"/>
                <w:sz w:val="24"/>
                <w:szCs w:val="24"/>
              </w:rPr>
              <w:t>质量管理体系认证、环境体系认证、职业健康安全管理体系认证</w:t>
            </w:r>
            <w:r>
              <w:rPr>
                <w:rFonts w:hint="default" w:ascii="Times New Roman" w:hAnsi="Times New Roman" w:cs="Times New Roman"/>
                <w:kern w:val="0"/>
                <w:sz w:val="24"/>
                <w:szCs w:val="24"/>
                <w:lang w:val="en-US" w:eastAsia="zh-CN"/>
              </w:rPr>
              <w:t>的</w:t>
            </w:r>
            <w:r>
              <w:rPr>
                <w:rFonts w:hint="default" w:ascii="Times New Roman" w:hAnsi="Times New Roman" w:cs="Times New Roman"/>
                <w:kern w:val="0"/>
                <w:sz w:val="24"/>
                <w:szCs w:val="24"/>
                <w:lang w:eastAsia="zh-CN"/>
              </w:rPr>
              <w:t>，</w:t>
            </w:r>
            <w:r>
              <w:rPr>
                <w:rFonts w:hint="default" w:ascii="Times New Roman" w:hAnsi="Times New Roman" w:eastAsia="宋体" w:cs="Times New Roman"/>
                <w:kern w:val="0"/>
                <w:sz w:val="24"/>
                <w:szCs w:val="24"/>
              </w:rPr>
              <w:t>每证</w:t>
            </w:r>
            <w:r>
              <w:rPr>
                <w:rFonts w:hint="default" w:ascii="Times New Roman" w:hAnsi="Times New Roman" w:eastAsia="宋体" w:cs="Times New Roman"/>
                <w:sz w:val="24"/>
                <w:szCs w:val="24"/>
              </w:rPr>
              <w:t>各</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分，必须在有效期内，最高</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分。</w:t>
            </w:r>
            <w:r>
              <w:rPr>
                <w:rFonts w:hint="default" w:ascii="Times New Roman" w:hAnsi="Times New Roman" w:eastAsia="宋体" w:cs="Times New Roman"/>
                <w:sz w:val="24"/>
                <w:szCs w:val="24"/>
                <w:lang w:val="en-US" w:eastAsia="zh-Hans"/>
              </w:rPr>
              <w:t>扫描件</w:t>
            </w:r>
            <w:r>
              <w:rPr>
                <w:rFonts w:hint="default" w:ascii="Times New Roman" w:hAnsi="Times New Roman" w:eastAsia="宋体" w:cs="Times New Roman"/>
                <w:sz w:val="24"/>
                <w:szCs w:val="24"/>
              </w:rPr>
              <w:t>编入标书，原件</w:t>
            </w:r>
            <w:r>
              <w:rPr>
                <w:rFonts w:hint="eastAsia" w:cs="Times New Roman"/>
                <w:sz w:val="24"/>
                <w:szCs w:val="24"/>
                <w:lang w:eastAsia="zh-CN"/>
              </w:rPr>
              <w:t>带至现场</w:t>
            </w:r>
            <w:r>
              <w:rPr>
                <w:rFonts w:hint="default" w:ascii="Times New Roman" w:hAnsi="Times New Roman" w:eastAsia="宋体" w:cs="Times New Roman"/>
                <w:sz w:val="24"/>
                <w:szCs w:val="24"/>
              </w:rPr>
              <w:t>备查。</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0-3分</w:t>
            </w:r>
            <w:r>
              <w:rPr>
                <w:rFonts w:hint="default" w:ascii="Times New Roman" w:hAnsi="Times New Roman" w:eastAsia="宋体" w:cs="Times New Roman"/>
                <w:sz w:val="24"/>
                <w:szCs w:val="24"/>
                <w:lang w:eastAsia="zh-CN"/>
              </w:rPr>
              <w:t>）</w:t>
            </w:r>
          </w:p>
        </w:tc>
        <w:tc>
          <w:tcPr>
            <w:tcW w:w="825" w:type="dxa"/>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分</w:t>
            </w:r>
          </w:p>
        </w:tc>
        <w:tc>
          <w:tcPr>
            <w:tcW w:w="825" w:type="dxa"/>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default" w:ascii="Times New Roman" w:hAnsi="Times New Roman" w:eastAsia="宋体" w:cs="Times New Roman"/>
                <w:sz w:val="24"/>
                <w:szCs w:val="24"/>
                <w:lang w:val="en-US" w:eastAsia="zh-CN"/>
              </w:rPr>
            </w:pPr>
          </w:p>
        </w:tc>
        <w:tc>
          <w:tcPr>
            <w:tcW w:w="1763" w:type="dxa"/>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团队人员配备</w:t>
            </w:r>
          </w:p>
        </w:tc>
        <w:tc>
          <w:tcPr>
            <w:tcW w:w="65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根据投入本项目人员的数量、履历</w:t>
            </w:r>
            <w:r>
              <w:rPr>
                <w:rFonts w:hint="default" w:ascii="Times New Roman" w:hAnsi="Times New Roman" w:cs="Times New Roman"/>
                <w:sz w:val="24"/>
                <w:szCs w:val="24"/>
                <w:lang w:val="en-US" w:eastAsia="zh-CN"/>
              </w:rPr>
              <w:t>进行</w:t>
            </w:r>
            <w:r>
              <w:rPr>
                <w:rFonts w:hint="default" w:ascii="Times New Roman" w:hAnsi="Times New Roman" w:eastAsia="宋体" w:cs="Times New Roman"/>
                <w:sz w:val="24"/>
                <w:szCs w:val="24"/>
              </w:rPr>
              <w:t>综合评分，须提供相关证明材料。（0-</w:t>
            </w:r>
            <w:r>
              <w:rPr>
                <w:rFonts w:hint="default" w:ascii="Times New Roman" w:hAnsi="Times New Roman" w:cs="Times New Roman"/>
                <w:sz w:val="24"/>
                <w:szCs w:val="24"/>
                <w:lang w:val="en-US" w:eastAsia="zh-CN"/>
              </w:rPr>
              <w:t>6</w:t>
            </w:r>
            <w:r>
              <w:rPr>
                <w:rFonts w:hint="default" w:ascii="Times New Roman" w:hAnsi="Times New Roman" w:eastAsia="宋体" w:cs="Times New Roman"/>
                <w:sz w:val="24"/>
                <w:szCs w:val="24"/>
              </w:rPr>
              <w:t>分）</w:t>
            </w:r>
          </w:p>
        </w:tc>
        <w:tc>
          <w:tcPr>
            <w:tcW w:w="825" w:type="dxa"/>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6</w:t>
            </w:r>
            <w:r>
              <w:rPr>
                <w:rFonts w:hint="default" w:ascii="Times New Roman" w:hAnsi="Times New Roman" w:eastAsia="宋体" w:cs="Times New Roman"/>
                <w:sz w:val="24"/>
                <w:szCs w:val="24"/>
              </w:rPr>
              <w:t>分</w:t>
            </w:r>
          </w:p>
        </w:tc>
        <w:tc>
          <w:tcPr>
            <w:tcW w:w="825" w:type="dxa"/>
            <w:noWrap w:val="0"/>
            <w:vAlign w:val="center"/>
          </w:tcPr>
          <w:p>
            <w:pPr>
              <w:widowControl/>
              <w:spacing w:line="400" w:lineRule="exact"/>
              <w:jc w:val="center"/>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default" w:ascii="Times New Roman" w:hAnsi="Times New Roman" w:eastAsia="宋体" w:cs="Times New Roman"/>
                <w:sz w:val="24"/>
                <w:szCs w:val="24"/>
              </w:rPr>
            </w:pPr>
          </w:p>
        </w:tc>
        <w:tc>
          <w:tcPr>
            <w:tcW w:w="1763" w:type="dxa"/>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成功案例</w:t>
            </w:r>
          </w:p>
        </w:tc>
        <w:tc>
          <w:tcPr>
            <w:tcW w:w="65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eastAsia="zh-Hans"/>
              </w:rPr>
            </w:pPr>
            <w:r>
              <w:rPr>
                <w:rFonts w:hint="default" w:ascii="Times New Roman" w:hAnsi="Times New Roman" w:eastAsia="宋体" w:cs="Times New Roman"/>
                <w:color w:val="auto"/>
                <w:sz w:val="24"/>
                <w:szCs w:val="24"/>
              </w:rPr>
              <w:t>投标人提供自20</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年1月1日</w:t>
            </w:r>
            <w:r>
              <w:rPr>
                <w:rFonts w:hint="default" w:ascii="Times New Roman" w:hAnsi="Times New Roman" w:cs="Times New Roman"/>
                <w:color w:val="auto"/>
                <w:sz w:val="24"/>
                <w:szCs w:val="24"/>
                <w:lang w:val="en-US" w:eastAsia="zh-CN"/>
              </w:rPr>
              <w:t>至今</w:t>
            </w:r>
            <w:r>
              <w:rPr>
                <w:rFonts w:hint="default" w:ascii="Times New Roman" w:hAnsi="Times New Roman" w:eastAsia="宋体" w:cs="Times New Roman"/>
                <w:color w:val="auto"/>
                <w:sz w:val="24"/>
                <w:szCs w:val="24"/>
              </w:rPr>
              <w:t>（以合同签订时间为准）承担</w:t>
            </w:r>
            <w:r>
              <w:rPr>
                <w:rFonts w:hint="default" w:ascii="Times New Roman" w:hAnsi="Times New Roman" w:cs="Times New Roman"/>
                <w:color w:val="auto"/>
                <w:sz w:val="24"/>
                <w:szCs w:val="24"/>
                <w:lang w:val="en-US" w:eastAsia="zh-CN"/>
              </w:rPr>
              <w:t>过</w:t>
            </w:r>
            <w:r>
              <w:rPr>
                <w:rFonts w:hint="default" w:ascii="Times New Roman" w:hAnsi="Times New Roman" w:eastAsia="宋体" w:cs="Times New Roman"/>
                <w:color w:val="auto"/>
                <w:sz w:val="24"/>
                <w:szCs w:val="24"/>
              </w:rPr>
              <w:t>类似案例：提供的</w:t>
            </w:r>
            <w:r>
              <w:rPr>
                <w:rFonts w:hint="default" w:ascii="Times New Roman" w:hAnsi="Times New Roman" w:cs="Times New Roman"/>
                <w:color w:val="auto"/>
                <w:sz w:val="24"/>
                <w:szCs w:val="24"/>
                <w:lang w:val="en-US" w:eastAsia="zh-CN"/>
              </w:rPr>
              <w:t>有效</w:t>
            </w:r>
            <w:r>
              <w:rPr>
                <w:rFonts w:hint="default" w:ascii="Times New Roman" w:hAnsi="Times New Roman" w:eastAsia="宋体" w:cs="Times New Roman"/>
                <w:color w:val="auto"/>
                <w:sz w:val="24"/>
                <w:szCs w:val="24"/>
              </w:rPr>
              <w:t>合同</w:t>
            </w:r>
            <w:r>
              <w:rPr>
                <w:rFonts w:hint="default" w:ascii="Times New Roman" w:hAnsi="Times New Roman" w:cs="Times New Roman"/>
                <w:color w:val="auto"/>
                <w:sz w:val="24"/>
                <w:szCs w:val="24"/>
                <w:lang w:val="en-US" w:eastAsia="zh-CN"/>
              </w:rPr>
              <w:t>复印件</w:t>
            </w:r>
            <w:r>
              <w:rPr>
                <w:rFonts w:hint="default" w:ascii="Times New Roman" w:hAnsi="Times New Roman" w:eastAsia="宋体" w:cs="Times New Roman"/>
                <w:color w:val="auto"/>
                <w:sz w:val="24"/>
                <w:szCs w:val="24"/>
              </w:rPr>
              <w:t>中</w:t>
            </w:r>
            <w:r>
              <w:rPr>
                <w:rFonts w:hint="default" w:ascii="Times New Roman" w:hAnsi="Times New Roman" w:eastAsia="宋体" w:cs="Times New Roman"/>
                <w:color w:val="auto"/>
                <w:sz w:val="24"/>
                <w:szCs w:val="24"/>
                <w:lang w:val="en-US" w:eastAsia="zh-CN"/>
              </w:rPr>
              <w:t>包</w:t>
            </w:r>
            <w:r>
              <w:rPr>
                <w:rFonts w:hint="default" w:ascii="Times New Roman" w:hAnsi="Times New Roman" w:eastAsia="宋体" w:cs="Times New Roman"/>
                <w:color w:val="auto"/>
                <w:sz w:val="24"/>
                <w:szCs w:val="24"/>
              </w:rPr>
              <w:t>含</w:t>
            </w:r>
            <w:r>
              <w:rPr>
                <w:rFonts w:hint="default" w:ascii="Times New Roman" w:hAnsi="Times New Roman" w:cs="Times New Roman"/>
                <w:color w:val="auto"/>
                <w:sz w:val="24"/>
                <w:szCs w:val="24"/>
                <w:lang w:val="en-US" w:eastAsia="zh-CN"/>
              </w:rPr>
              <w:t>自助充电内容的，每个合同得</w:t>
            </w:r>
            <w:r>
              <w:rPr>
                <w:rFonts w:hint="default" w:ascii="Times New Roman" w:hAnsi="Times New Roman" w:cs="Times New Roman"/>
                <w:color w:val="auto"/>
                <w:sz w:val="24"/>
                <w:szCs w:val="24"/>
                <w:lang w:eastAsia="zh-CN"/>
              </w:rPr>
              <w:t>0</w:t>
            </w:r>
            <w:r>
              <w:rPr>
                <w:rFonts w:hint="default" w:ascii="Times New Roman" w:hAnsi="Times New Roman" w:cs="Times New Roman"/>
                <w:color w:val="auto"/>
                <w:sz w:val="24"/>
                <w:szCs w:val="24"/>
                <w:lang w:val="en-US" w:eastAsia="zh-Hans"/>
              </w:rPr>
              <w:t>.</w:t>
            </w:r>
            <w:r>
              <w:rPr>
                <w:rFonts w:hint="default" w:ascii="Times New Roman" w:hAnsi="Times New Roman" w:cs="Times New Roman"/>
                <w:color w:val="auto"/>
                <w:sz w:val="24"/>
                <w:szCs w:val="24"/>
                <w:lang w:eastAsia="zh-Hans"/>
              </w:rPr>
              <w:t>5</w:t>
            </w:r>
            <w:r>
              <w:rPr>
                <w:rFonts w:hint="default" w:ascii="Times New Roman" w:hAnsi="Times New Roman" w:cs="Times New Roman"/>
                <w:color w:val="auto"/>
                <w:sz w:val="24"/>
                <w:szCs w:val="24"/>
                <w:lang w:val="en-US" w:eastAsia="zh-CN"/>
              </w:rPr>
              <w:t>分，</w:t>
            </w:r>
            <w:r>
              <w:rPr>
                <w:rFonts w:hint="default" w:ascii="Times New Roman" w:hAnsi="Times New Roman" w:cs="Times New Roman"/>
                <w:color w:val="auto"/>
                <w:sz w:val="24"/>
                <w:szCs w:val="24"/>
                <w:lang w:val="en-US" w:eastAsia="zh-Hans"/>
              </w:rPr>
              <w:t>最高</w:t>
            </w:r>
            <w:r>
              <w:rPr>
                <w:rFonts w:hint="default" w:ascii="Times New Roman" w:hAnsi="Times New Roman" w:cs="Times New Roman"/>
                <w:color w:val="auto"/>
                <w:sz w:val="24"/>
                <w:szCs w:val="24"/>
                <w:lang w:eastAsia="zh-Hans"/>
              </w:rPr>
              <w:t>1</w:t>
            </w:r>
            <w:r>
              <w:rPr>
                <w:rFonts w:hint="default" w:ascii="Times New Roman" w:hAnsi="Times New Roman" w:cs="Times New Roman"/>
                <w:color w:val="auto"/>
                <w:sz w:val="24"/>
                <w:szCs w:val="24"/>
                <w:lang w:val="en-US" w:eastAsia="zh-Hans"/>
              </w:rPr>
              <w:t>分</w:t>
            </w:r>
            <w:r>
              <w:rPr>
                <w:rFonts w:hint="default" w:ascii="Times New Roman" w:hAnsi="Times New Roman" w:cs="Times New Roman"/>
                <w:color w:val="auto"/>
                <w:sz w:val="24"/>
                <w:szCs w:val="24"/>
                <w:lang w:eastAsia="zh-Hans"/>
              </w:rPr>
              <w:t>。</w:t>
            </w:r>
            <w:r>
              <w:rPr>
                <w:rFonts w:hint="default" w:ascii="Times New Roman" w:hAnsi="Times New Roman" w:eastAsia="宋体" w:cs="Times New Roman"/>
                <w:color w:val="auto"/>
                <w:sz w:val="24"/>
                <w:szCs w:val="24"/>
              </w:rPr>
              <w:t>原件带至现场</w:t>
            </w:r>
            <w:r>
              <w:rPr>
                <w:rFonts w:hint="default" w:ascii="Times New Roman" w:hAnsi="Times New Roman" w:cs="Times New Roman"/>
                <w:color w:val="auto"/>
                <w:sz w:val="24"/>
                <w:szCs w:val="24"/>
                <w:lang w:val="en-US" w:eastAsia="zh-CN"/>
              </w:rPr>
              <w:t>备</w:t>
            </w:r>
            <w:r>
              <w:rPr>
                <w:rFonts w:hint="default" w:ascii="Times New Roman" w:hAnsi="Times New Roman" w:eastAsia="宋体" w:cs="Times New Roman"/>
                <w:color w:val="auto"/>
                <w:sz w:val="24"/>
                <w:szCs w:val="24"/>
              </w:rPr>
              <w:t>查。（0-</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分）</w:t>
            </w:r>
          </w:p>
        </w:tc>
        <w:tc>
          <w:tcPr>
            <w:tcW w:w="825" w:type="dxa"/>
            <w:noWrap w:val="0"/>
            <w:vAlign w:val="center"/>
          </w:tcPr>
          <w:p>
            <w:pPr>
              <w:widowControl/>
              <w:spacing w:line="40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分</w:t>
            </w:r>
          </w:p>
        </w:tc>
        <w:tc>
          <w:tcPr>
            <w:tcW w:w="825" w:type="dxa"/>
            <w:noWrap w:val="0"/>
            <w:vAlign w:val="center"/>
          </w:tcPr>
          <w:p>
            <w:pPr>
              <w:widowControl/>
              <w:spacing w:line="400" w:lineRule="exact"/>
              <w:jc w:val="center"/>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874" w:type="dxa"/>
            <w:vMerge w:val="continue"/>
            <w:noWrap w:val="0"/>
            <w:vAlign w:val="center"/>
          </w:tcPr>
          <w:p>
            <w:pPr>
              <w:widowControl/>
              <w:spacing w:line="400" w:lineRule="exact"/>
              <w:jc w:val="center"/>
              <w:rPr>
                <w:rFonts w:hint="default" w:ascii="Times New Roman" w:hAnsi="Times New Roman" w:eastAsia="宋体" w:cs="Times New Roman"/>
                <w:sz w:val="24"/>
                <w:szCs w:val="24"/>
              </w:rPr>
            </w:pPr>
          </w:p>
        </w:tc>
        <w:tc>
          <w:tcPr>
            <w:tcW w:w="1763" w:type="dxa"/>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Hans"/>
              </w:rPr>
              <w:t>建设</w:t>
            </w:r>
            <w:r>
              <w:rPr>
                <w:rFonts w:hint="default" w:ascii="Times New Roman" w:hAnsi="Times New Roman" w:eastAsia="宋体" w:cs="Times New Roman"/>
                <w:sz w:val="24"/>
                <w:szCs w:val="24"/>
              </w:rPr>
              <w:t>方案</w:t>
            </w:r>
          </w:p>
        </w:tc>
        <w:tc>
          <w:tcPr>
            <w:tcW w:w="655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根据投标人提供的设计思路、</w:t>
            </w:r>
            <w:r>
              <w:rPr>
                <w:rFonts w:hint="default" w:ascii="Times New Roman" w:hAnsi="Times New Roman" w:eastAsia="宋体" w:cs="Times New Roman"/>
                <w:color w:val="auto"/>
                <w:sz w:val="24"/>
                <w:szCs w:val="24"/>
                <w:highlight w:val="none"/>
                <w:lang w:val="en-US" w:eastAsia="zh-CN"/>
              </w:rPr>
              <w:t>工程量清单、</w:t>
            </w:r>
            <w:r>
              <w:rPr>
                <w:rFonts w:hint="default" w:ascii="Times New Roman" w:hAnsi="Times New Roman" w:eastAsia="宋体" w:cs="Times New Roman"/>
                <w:color w:val="auto"/>
                <w:kern w:val="2"/>
                <w:sz w:val="24"/>
                <w:szCs w:val="24"/>
                <w:lang w:val="en-US" w:eastAsia="zh-CN" w:bidi="ar-SA"/>
              </w:rPr>
              <w:t>施工图纸、效果图等总体建设方案的整体性、合理性、完整性、可行性以及是否满文件的要求等进行综合评分。（0-25分）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highlight w:val="none"/>
                <w:lang w:val="en-US" w:eastAsia="zh-Hans"/>
              </w:rPr>
              <w:t>好</w:t>
            </w:r>
            <w:r>
              <w:rPr>
                <w:rFonts w:hint="default" w:ascii="Times New Roman" w:hAnsi="Times New Roman" w:eastAsia="宋体" w:cs="Times New Roman"/>
                <w:color w:val="auto"/>
                <w:sz w:val="24"/>
                <w:szCs w:val="24"/>
                <w:highlight w:val="none"/>
              </w:rPr>
              <w:t>的</w:t>
            </w:r>
            <w:r>
              <w:rPr>
                <w:rFonts w:hint="default" w:cs="Times New Roman"/>
                <w:color w:val="auto"/>
                <w:sz w:val="24"/>
                <w:szCs w:val="24"/>
                <w:highlight w:val="none"/>
              </w:rPr>
              <w:t>，</w:t>
            </w:r>
            <w:r>
              <w:rPr>
                <w:rFonts w:hint="default" w:ascii="Times New Roman" w:hAnsi="Times New Roman" w:eastAsia="宋体" w:cs="Times New Roman"/>
                <w:color w:val="auto"/>
                <w:sz w:val="24"/>
                <w:szCs w:val="24"/>
                <w:highlight w:val="none"/>
              </w:rPr>
              <w:t>得</w:t>
            </w:r>
            <w:r>
              <w:rPr>
                <w:rFonts w:hint="default" w:ascii="Times New Roman" w:hAnsi="Times New Roman" w:eastAsia="宋体"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lang w:val="en-US" w:eastAsia="zh-Hans"/>
              </w:rPr>
              <w:t>较好</w:t>
            </w:r>
            <w:r>
              <w:rPr>
                <w:rFonts w:hint="default" w:ascii="Times New Roman" w:hAnsi="Times New Roman" w:eastAsia="宋体" w:cs="Times New Roman"/>
                <w:color w:val="auto"/>
                <w:sz w:val="24"/>
                <w:szCs w:val="24"/>
                <w:highlight w:val="none"/>
              </w:rPr>
              <w:t>的</w:t>
            </w:r>
            <w:r>
              <w:rPr>
                <w:rFonts w:hint="default" w:cs="Times New Roman"/>
                <w:color w:val="auto"/>
                <w:sz w:val="24"/>
                <w:szCs w:val="24"/>
                <w:highlight w:val="none"/>
              </w:rPr>
              <w:t>，</w:t>
            </w:r>
            <w:r>
              <w:rPr>
                <w:rFonts w:hint="default" w:ascii="Times New Roman" w:hAnsi="Times New Roman" w:eastAsia="宋体" w:cs="Times New Roman"/>
                <w:color w:val="auto"/>
                <w:sz w:val="24"/>
                <w:szCs w:val="24"/>
                <w:highlight w:val="none"/>
              </w:rPr>
              <w:t>得</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7（不含）</w:t>
            </w:r>
            <w:r>
              <w:rPr>
                <w:rFonts w:hint="default" w:ascii="Times New Roman" w:hAnsi="Times New Roman" w:eastAsia="宋体" w:cs="Times New Roman"/>
                <w:color w:val="auto"/>
                <w:sz w:val="24"/>
                <w:szCs w:val="24"/>
                <w:highlight w:val="none"/>
              </w:rPr>
              <w:t>分；</w:t>
            </w:r>
            <w:r>
              <w:rPr>
                <w:rFonts w:hint="eastAsia" w:ascii="Times New Roman" w:hAnsi="Times New Roman" w:cs="Times New Roman"/>
                <w:color w:val="auto"/>
                <w:sz w:val="24"/>
                <w:szCs w:val="24"/>
                <w:highlight w:val="none"/>
                <w:lang w:val="en-US" w:eastAsia="zh-Hans"/>
              </w:rPr>
              <w:t>一般</w:t>
            </w:r>
            <w:r>
              <w:rPr>
                <w:rFonts w:hint="default" w:ascii="Times New Roman" w:hAnsi="Times New Roman" w:eastAsia="宋体" w:cs="Times New Roman"/>
                <w:color w:val="auto"/>
                <w:sz w:val="24"/>
                <w:szCs w:val="24"/>
                <w:highlight w:val="none"/>
              </w:rPr>
              <w:t>的</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sz w:val="24"/>
                <w:szCs w:val="24"/>
                <w:highlight w:val="none"/>
              </w:rPr>
              <w:t>得</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8（不含）</w:t>
            </w:r>
            <w:r>
              <w:rPr>
                <w:rFonts w:hint="default" w:ascii="Times New Roman" w:hAnsi="Times New Roman" w:eastAsia="宋体" w:cs="Times New Roman"/>
                <w:color w:val="auto"/>
                <w:sz w:val="24"/>
                <w:szCs w:val="24"/>
                <w:highlight w:val="none"/>
              </w:rPr>
              <w:t>分。</w:t>
            </w:r>
          </w:p>
        </w:tc>
        <w:tc>
          <w:tcPr>
            <w:tcW w:w="825" w:type="dxa"/>
            <w:noWrap w:val="0"/>
            <w:vAlign w:val="center"/>
          </w:tcPr>
          <w:p>
            <w:pPr>
              <w:widowControl/>
              <w:spacing w:line="40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25</w:t>
            </w:r>
            <w:r>
              <w:rPr>
                <w:rFonts w:hint="default" w:ascii="Times New Roman" w:hAnsi="Times New Roman" w:eastAsia="宋体" w:cs="Times New Roman"/>
                <w:color w:val="auto"/>
                <w:sz w:val="24"/>
                <w:szCs w:val="24"/>
              </w:rPr>
              <w:t>分</w:t>
            </w:r>
          </w:p>
        </w:tc>
        <w:tc>
          <w:tcPr>
            <w:tcW w:w="825" w:type="dxa"/>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vMerge w:val="continue"/>
            <w:noWrap w:val="0"/>
            <w:vAlign w:val="center"/>
          </w:tcPr>
          <w:p>
            <w:pPr>
              <w:widowControl/>
              <w:spacing w:line="400" w:lineRule="exact"/>
              <w:jc w:val="center"/>
              <w:rPr>
                <w:rFonts w:hint="default" w:ascii="Times New Roman" w:hAnsi="Times New Roman" w:eastAsia="宋体" w:cs="Times New Roman"/>
                <w:sz w:val="24"/>
                <w:szCs w:val="24"/>
              </w:rPr>
            </w:pPr>
          </w:p>
        </w:tc>
        <w:tc>
          <w:tcPr>
            <w:tcW w:w="1763" w:type="dxa"/>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设备性能保障情况</w:t>
            </w:r>
          </w:p>
        </w:tc>
        <w:tc>
          <w:tcPr>
            <w:tcW w:w="655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0"/>
                <w:sz w:val="24"/>
                <w:szCs w:val="24"/>
                <w:lang w:val="en-US" w:eastAsia="zh-CN"/>
              </w:rPr>
              <w:t>根据投标人投入项目的主要材料及设备品牌型号情况（0-9）、技术指标的可靠性和成熟性（0-7）、设备特点和质量水平（0-7）、易维护性和可扩展性（0-7）等综合评分。（需提供电缆等主要材料及充电桩设备的实物图和各项技术参数指标）（0-30分）</w:t>
            </w:r>
          </w:p>
        </w:tc>
        <w:tc>
          <w:tcPr>
            <w:tcW w:w="825" w:type="dxa"/>
            <w:noWrap w:val="0"/>
            <w:vAlign w:val="center"/>
          </w:tcPr>
          <w:p>
            <w:pPr>
              <w:widowControl/>
              <w:spacing w:line="40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30</w:t>
            </w:r>
            <w:r>
              <w:rPr>
                <w:rFonts w:hint="default" w:ascii="Times New Roman" w:hAnsi="Times New Roman" w:eastAsia="宋体" w:cs="Times New Roman"/>
                <w:color w:val="auto"/>
                <w:sz w:val="24"/>
                <w:szCs w:val="24"/>
              </w:rPr>
              <w:t>分</w:t>
            </w:r>
          </w:p>
        </w:tc>
        <w:tc>
          <w:tcPr>
            <w:tcW w:w="825" w:type="dxa"/>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74" w:type="dxa"/>
            <w:vMerge w:val="continue"/>
            <w:noWrap w:val="0"/>
            <w:vAlign w:val="center"/>
          </w:tcPr>
          <w:p>
            <w:pPr>
              <w:widowControl/>
              <w:spacing w:line="400" w:lineRule="exact"/>
              <w:jc w:val="center"/>
              <w:rPr>
                <w:rFonts w:hint="default" w:ascii="Times New Roman" w:hAnsi="Times New Roman" w:eastAsia="宋体" w:cs="Times New Roman"/>
                <w:sz w:val="24"/>
                <w:szCs w:val="24"/>
              </w:rPr>
            </w:pPr>
          </w:p>
        </w:tc>
        <w:tc>
          <w:tcPr>
            <w:tcW w:w="1763"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服</w:t>
            </w:r>
            <w:r>
              <w:rPr>
                <w:rFonts w:hint="default" w:ascii="Times New Roman" w:hAnsi="Times New Roman" w:eastAsia="宋体" w:cs="Times New Roman"/>
                <w:sz w:val="24"/>
                <w:szCs w:val="24"/>
                <w:lang w:val="en-US"/>
              </w:rPr>
              <w:t>务</w:t>
            </w:r>
            <w:r>
              <w:rPr>
                <w:rFonts w:hint="default" w:ascii="Times New Roman" w:hAnsi="Times New Roman" w:cs="Times New Roman"/>
                <w:sz w:val="24"/>
                <w:szCs w:val="24"/>
                <w:lang w:val="en-US" w:eastAsia="zh-CN"/>
              </w:rPr>
              <w:t>方案及</w:t>
            </w:r>
            <w:r>
              <w:rPr>
                <w:rFonts w:hint="default" w:ascii="Times New Roman" w:hAnsi="Times New Roman" w:eastAsia="宋体" w:cs="Times New Roman"/>
                <w:sz w:val="24"/>
                <w:szCs w:val="24"/>
                <w:lang w:val="en-US"/>
              </w:rPr>
              <w:t>管理</w:t>
            </w:r>
            <w:r>
              <w:rPr>
                <w:rFonts w:hint="default" w:ascii="Times New Roman" w:hAnsi="Times New Roman" w:cs="Times New Roman"/>
                <w:sz w:val="24"/>
                <w:szCs w:val="24"/>
                <w:lang w:val="en-US" w:eastAsia="zh-CN"/>
              </w:rPr>
              <w:t>措施</w:t>
            </w:r>
          </w:p>
        </w:tc>
        <w:tc>
          <w:tcPr>
            <w:tcW w:w="655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lang w:val="en-US" w:eastAsia="zh-CN"/>
              </w:rPr>
              <w:t>根据投标人提供的针对本项目的</w:t>
            </w:r>
            <w:r>
              <w:rPr>
                <w:rFonts w:hint="default" w:ascii="Times New Roman" w:hAnsi="Times New Roman" w:eastAsia="宋体" w:cs="Times New Roman"/>
                <w:color w:val="auto"/>
                <w:kern w:val="0"/>
                <w:sz w:val="24"/>
                <w:szCs w:val="24"/>
              </w:rPr>
              <w:t>运维</w:t>
            </w:r>
            <w:r>
              <w:rPr>
                <w:rFonts w:hint="default" w:ascii="Times New Roman" w:hAnsi="Times New Roman" w:eastAsia="宋体" w:cs="Times New Roman"/>
                <w:color w:val="auto"/>
                <w:kern w:val="0"/>
                <w:sz w:val="24"/>
                <w:szCs w:val="24"/>
                <w:lang w:val="en-US" w:eastAsia="zh-CN"/>
              </w:rPr>
              <w:t>服务</w:t>
            </w:r>
            <w:r>
              <w:rPr>
                <w:rFonts w:hint="default" w:ascii="Times New Roman" w:hAnsi="Times New Roman" w:eastAsia="宋体" w:cs="Times New Roman"/>
                <w:color w:val="auto"/>
                <w:kern w:val="0"/>
                <w:sz w:val="24"/>
                <w:szCs w:val="24"/>
              </w:rPr>
              <w:t>体系、运维服务范围、运维服务</w:t>
            </w:r>
            <w:r>
              <w:rPr>
                <w:rFonts w:hint="default" w:ascii="Times New Roman" w:hAnsi="Times New Roman" w:eastAsia="宋体" w:cs="Times New Roman"/>
                <w:color w:val="auto"/>
                <w:kern w:val="0"/>
                <w:sz w:val="24"/>
                <w:szCs w:val="24"/>
                <w:lang w:val="en-US" w:eastAsia="zh-CN"/>
              </w:rPr>
              <w:t>响应时间</w:t>
            </w:r>
            <w:r>
              <w:rPr>
                <w:rFonts w:hint="default" w:ascii="Times New Roman" w:hAnsi="Times New Roman" w:eastAsia="宋体" w:cs="Times New Roman"/>
                <w:color w:val="auto"/>
                <w:kern w:val="0"/>
                <w:sz w:val="24"/>
                <w:szCs w:val="24"/>
              </w:rPr>
              <w:t>、运维组织保障、运维管理制度</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包括但不限于</w:t>
            </w:r>
            <w:r>
              <w:rPr>
                <w:rFonts w:hint="default" w:ascii="Times New Roman" w:hAnsi="Times New Roman" w:eastAsia="宋体" w:cs="Times New Roman"/>
                <w:color w:val="auto"/>
                <w:sz w:val="24"/>
                <w:szCs w:val="24"/>
                <w:highlight w:val="none"/>
              </w:rPr>
              <w:t>相关组件的更换、备品备件、维护、设备保养措施</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sz w:val="24"/>
                <w:szCs w:val="24"/>
                <w:highlight w:val="none"/>
              </w:rPr>
              <w:t>等进行</w:t>
            </w:r>
            <w:r>
              <w:rPr>
                <w:rFonts w:hint="eastAsia" w:cs="Times New Roman"/>
                <w:color w:val="auto"/>
                <w:sz w:val="24"/>
                <w:szCs w:val="24"/>
                <w:highlight w:val="none"/>
                <w:lang w:val="en-US" w:eastAsia="zh-Hans"/>
              </w:rPr>
              <w:t>综合</w:t>
            </w:r>
            <w:r>
              <w:rPr>
                <w:rFonts w:hint="default" w:ascii="Times New Roman" w:hAnsi="Times New Roman" w:eastAsia="宋体" w:cs="Times New Roman"/>
                <w:color w:val="auto"/>
                <w:sz w:val="24"/>
                <w:szCs w:val="24"/>
                <w:highlight w:val="none"/>
              </w:rPr>
              <w:t>评分。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0-20分</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eastAsia" w:cs="Times New Roman"/>
                <w:color w:val="auto"/>
                <w:kern w:val="0"/>
                <w:sz w:val="24"/>
                <w:szCs w:val="24"/>
                <w:lang w:val="en-US" w:eastAsia="zh-Hans"/>
              </w:rPr>
              <w:t>好</w:t>
            </w:r>
            <w:r>
              <w:rPr>
                <w:rFonts w:hint="default" w:ascii="Times New Roman" w:hAnsi="Times New Roman" w:eastAsia="宋体" w:cs="Times New Roman"/>
                <w:color w:val="auto"/>
                <w:kern w:val="0"/>
                <w:sz w:val="24"/>
                <w:szCs w:val="24"/>
                <w:lang w:val="en-US" w:eastAsia="zh-CN"/>
              </w:rPr>
              <w:t>的</w:t>
            </w:r>
            <w:r>
              <w:rPr>
                <w:rFonts w:hint="default"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得13-20分；</w:t>
            </w:r>
            <w:r>
              <w:rPr>
                <w:rFonts w:hint="eastAsia" w:cs="Times New Roman"/>
                <w:color w:val="auto"/>
                <w:kern w:val="0"/>
                <w:sz w:val="24"/>
                <w:szCs w:val="24"/>
                <w:lang w:val="en-US" w:eastAsia="zh-Hans"/>
              </w:rPr>
              <w:t>较好</w:t>
            </w:r>
            <w:r>
              <w:rPr>
                <w:rFonts w:hint="default" w:ascii="Times New Roman" w:hAnsi="Times New Roman" w:eastAsia="宋体" w:cs="Times New Roman"/>
                <w:color w:val="auto"/>
                <w:kern w:val="0"/>
                <w:sz w:val="24"/>
                <w:szCs w:val="24"/>
                <w:lang w:val="en-US" w:eastAsia="zh-CN"/>
              </w:rPr>
              <w:t>的</w:t>
            </w:r>
            <w:r>
              <w:rPr>
                <w:rFonts w:hint="default"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得6-13（不含）分；</w:t>
            </w:r>
            <w:r>
              <w:rPr>
                <w:rFonts w:hint="eastAsia" w:cs="Times New Roman"/>
                <w:color w:val="auto"/>
                <w:kern w:val="0"/>
                <w:sz w:val="24"/>
                <w:szCs w:val="24"/>
                <w:lang w:val="en-US" w:eastAsia="zh-Hans"/>
              </w:rPr>
              <w:t>一般</w:t>
            </w:r>
            <w:r>
              <w:rPr>
                <w:rFonts w:hint="default" w:ascii="Times New Roman" w:hAnsi="Times New Roman" w:eastAsia="宋体" w:cs="Times New Roman"/>
                <w:color w:val="auto"/>
                <w:kern w:val="0"/>
                <w:sz w:val="24"/>
                <w:szCs w:val="24"/>
                <w:lang w:val="en-US" w:eastAsia="zh-CN"/>
              </w:rPr>
              <w:t>的</w:t>
            </w:r>
            <w:r>
              <w:rPr>
                <w:rFonts w:hint="default"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得0-6（不含）分。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tcBorders>
              <w:bottom w:val="single" w:color="auto" w:sz="4" w:space="0"/>
            </w:tcBorders>
            <w:noWrap w:val="0"/>
            <w:vAlign w:val="center"/>
          </w:tcPr>
          <w:p>
            <w:pPr>
              <w:widowControl/>
              <w:spacing w:line="400" w:lineRule="exact"/>
              <w:jc w:val="center"/>
              <w:rPr>
                <w:rFonts w:hint="default" w:ascii="Times New Roman" w:hAnsi="Times New Roman" w:eastAsia="宋体" w:cs="Times New Roman"/>
                <w:sz w:val="24"/>
                <w:szCs w:val="24"/>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服务承诺</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rPr>
              <w:t>根据投标人针对本项目的服务特点及保证服务质量措施、承诺和其他延伸服务情况综合评分。（0-5分）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宋体" w:cs="Times New Roman"/>
                <w:sz w:val="24"/>
                <w:szCs w:val="24"/>
              </w:rPr>
            </w:pPr>
          </w:p>
        </w:tc>
      </w:tr>
    </w:tbl>
    <w:p>
      <w:pPr>
        <w:autoSpaceDE w:val="0"/>
        <w:autoSpaceDN w:val="0"/>
        <w:adjustRightInd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四、开标程序</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1.主持人宣布投标截止时间，并宣布招标会议开始。</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2.工作人员确认投标人法定代表人或授权委托代理人资格及到场等情况。</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3.工作人员检查各投标人的标函密封、标记情况。</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eastAsia" w:ascii="宋体" w:hAnsi="宋体" w:eastAsia="宋体" w:cs="宋体"/>
          <w:sz w:val="24"/>
        </w:rPr>
      </w:pPr>
      <w:r>
        <w:rPr>
          <w:rFonts w:hint="eastAsia" w:ascii="宋体" w:hAnsi="宋体" w:eastAsia="宋体" w:cs="宋体"/>
          <w:sz w:val="24"/>
        </w:rPr>
        <w:t>4.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5.工作人员宣布资格审查结果并按标书递交时间的逆顺序当众启封审查合格投标人的技术文件，送评标委员会独立评审技术标，评委根据需要进行询标，对各投标人打商务及技术分。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6.工作人员按标书递交时间的逆顺序拆封各投标人的报价文件，并宣布各投标单位的报价，并送评标委员会进行审查。</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7.最后由工作人员计算出各投标单位的报价得分，在现场监标人员的监督下，进行复核，然后加计总分后当场公布各投标人的各项得分及总分，以总分最高者为第一中标候选人，总分第二高者为第二中标候选人。</w:t>
      </w:r>
    </w:p>
    <w:p>
      <w:pPr>
        <w:keepNext w:val="0"/>
        <w:keepLines w:val="0"/>
        <w:pageBreakBefore w:val="0"/>
        <w:widowControl w:val="0"/>
        <w:kinsoku/>
        <w:wordWrap/>
        <w:overflowPunct/>
        <w:topLinePunct w:val="0"/>
        <w:bidi w:val="0"/>
        <w:snapToGrid/>
        <w:spacing w:line="420" w:lineRule="exact"/>
        <w:ind w:firstLine="480" w:firstLineChars="200"/>
        <w:textAlignment w:val="auto"/>
        <w:rPr>
          <w:rStyle w:val="26"/>
          <w:rFonts w:hint="eastAsia" w:ascii="宋体" w:hAnsi="宋体" w:eastAsia="宋体" w:cs="宋体"/>
        </w:rPr>
      </w:pPr>
      <w:r>
        <w:rPr>
          <w:rFonts w:hint="eastAsia" w:ascii="宋体" w:hAnsi="宋体" w:eastAsia="宋体" w:cs="宋体"/>
          <w:sz w:val="24"/>
        </w:rPr>
        <w:t>8.开标会结束。</w:t>
      </w:r>
      <w:bookmarkStart w:id="10" w:name="_Toc26680"/>
    </w:p>
    <w:p>
      <w:pPr>
        <w:spacing w:line="360" w:lineRule="auto"/>
        <w:jc w:val="center"/>
        <w:outlineLvl w:val="0"/>
        <w:rPr>
          <w:rStyle w:val="26"/>
          <w:rFonts w:hint="eastAsia" w:ascii="宋体" w:hAnsi="宋体" w:eastAsia="宋体" w:cs="宋体"/>
        </w:rPr>
      </w:pPr>
      <w:r>
        <w:rPr>
          <w:rStyle w:val="26"/>
          <w:rFonts w:hint="eastAsia" w:ascii="宋体" w:hAnsi="宋体" w:eastAsia="宋体" w:cs="宋体"/>
        </w:rPr>
        <w:t>第六章 应提交的有关材料格式范例</w:t>
      </w:r>
      <w:bookmarkEnd w:id="10"/>
    </w:p>
    <w:p>
      <w:pPr>
        <w:spacing w:line="500" w:lineRule="exact"/>
        <w:jc w:val="center"/>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格式一：</w:t>
      </w:r>
    </w:p>
    <w:p>
      <w:pPr>
        <w:autoSpaceDE w:val="0"/>
        <w:autoSpaceDN w:val="0"/>
        <w:adjustRightInd w:val="0"/>
        <w:spacing w:line="440" w:lineRule="exact"/>
        <w:jc w:val="center"/>
        <w:outlineLvl w:val="0"/>
        <w:rPr>
          <w:rFonts w:hint="eastAsia" w:ascii="宋体" w:hAnsi="宋体" w:eastAsia="宋体" w:cs="宋体"/>
          <w:b/>
          <w:bCs/>
          <w:color w:val="000000"/>
          <w:spacing w:val="20"/>
          <w:sz w:val="32"/>
        </w:rPr>
      </w:pPr>
      <w:bookmarkStart w:id="11" w:name="_Toc8741"/>
      <w:r>
        <w:rPr>
          <w:rFonts w:hint="eastAsia" w:ascii="宋体" w:hAnsi="宋体" w:eastAsia="宋体" w:cs="宋体"/>
          <w:b/>
          <w:bCs/>
          <w:color w:val="000000"/>
          <w:spacing w:val="20"/>
          <w:sz w:val="32"/>
        </w:rPr>
        <w:t>投标文件外包装封面格式</w:t>
      </w:r>
      <w:bookmarkEnd w:id="11"/>
    </w:p>
    <w:p>
      <w:pPr>
        <w:snapToGrid w:val="0"/>
        <w:spacing w:line="1100" w:lineRule="exact"/>
        <w:rPr>
          <w:rFonts w:hint="eastAsia" w:ascii="宋体" w:hAnsi="宋体" w:eastAsia="宋体" w:cs="宋体"/>
          <w:color w:val="FF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衢院招2024-25</w:t>
      </w:r>
    </w:p>
    <w:p>
      <w:pPr>
        <w:spacing w:line="420" w:lineRule="exact"/>
        <w:rPr>
          <w:rFonts w:hint="eastAsia" w:ascii="宋体" w:hAnsi="宋体" w:eastAsia="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bCs/>
          <w:color w:val="000000"/>
          <w:spacing w:val="20"/>
          <w:sz w:val="32"/>
          <w:szCs w:val="32"/>
        </w:rPr>
        <w:t>项目名称</w:t>
      </w:r>
      <w:r>
        <w:rPr>
          <w:rFonts w:hint="eastAsia" w:ascii="宋体" w:hAnsi="宋体" w:eastAsia="宋体" w:cs="宋体"/>
          <w:b/>
          <w:color w:val="000000"/>
          <w:spacing w:val="20"/>
          <w:sz w:val="32"/>
          <w:szCs w:val="32"/>
        </w:rPr>
        <w:t>：</w:t>
      </w:r>
      <w:r>
        <w:rPr>
          <w:rFonts w:hint="eastAsia" w:ascii="宋体" w:hAnsi="宋体" w:cs="宋体"/>
          <w:b/>
          <w:color w:val="000000"/>
          <w:spacing w:val="20"/>
          <w:sz w:val="32"/>
          <w:szCs w:val="32"/>
          <w:lang w:val="en-US" w:eastAsia="zh-CN"/>
        </w:rPr>
        <w:t>校园新能源汽车充电服务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法定代表人或全权代表（签字或签章）：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b/>
          <w:color w:val="000000"/>
          <w:kern w:val="0"/>
          <w:sz w:val="24"/>
        </w:rPr>
        <w:t>封口格式</w:t>
      </w:r>
    </w:p>
    <w:p>
      <w:pPr>
        <w:rPr>
          <w:rFonts w:hint="eastAsia" w:ascii="宋体" w:hAnsi="宋体" w:eastAsia="宋体" w:cs="宋体"/>
          <w:bCs/>
          <w:color w:val="000000"/>
        </w:rPr>
      </w:pPr>
      <w:r>
        <w:rPr>
          <w:rFonts w:hint="eastAsia" w:ascii="宋体" w:hAnsi="宋体" w:eastAsia="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hint="eastAsia" w:ascii="宋体" w:hAnsi="宋体" w:eastAsia="宋体" w:cs="宋体"/>
          <w:b/>
          <w:color w:val="000000"/>
          <w:spacing w:val="20"/>
          <w:sz w:val="32"/>
          <w:szCs w:val="32"/>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格式二：</w:t>
      </w:r>
    </w:p>
    <w:p>
      <w:pPr>
        <w:autoSpaceDE w:val="0"/>
        <w:autoSpaceDN w:val="0"/>
        <w:adjustRightInd w:val="0"/>
        <w:spacing w:line="440" w:lineRule="exact"/>
        <w:rPr>
          <w:rFonts w:hint="eastAsia" w:ascii="宋体" w:hAnsi="宋体" w:eastAsia="宋体" w:cs="宋体"/>
          <w:b/>
          <w:bCs/>
          <w:color w:val="000000"/>
          <w:spacing w:val="20"/>
          <w:sz w:val="36"/>
          <w:szCs w:val="36"/>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投标文件封面格式</w:t>
      </w: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900" w:lineRule="exact"/>
        <w:jc w:val="center"/>
        <w:rPr>
          <w:rFonts w:hint="eastAsia" w:ascii="宋体" w:hAnsi="宋体" w:eastAsia="宋体" w:cs="宋体"/>
          <w:b/>
          <w:bCs/>
          <w:color w:val="000000"/>
          <w:spacing w:val="20"/>
          <w:sz w:val="44"/>
        </w:rPr>
      </w:pPr>
      <w:r>
        <w:rPr>
          <w:rFonts w:hint="eastAsia" w:ascii="宋体" w:hAnsi="宋体" w:eastAsia="宋体" w:cs="宋体"/>
          <w:b/>
          <w:bCs/>
          <w:color w:val="000000"/>
          <w:spacing w:val="20"/>
          <w:sz w:val="44"/>
        </w:rPr>
        <w:t>（正本）或（副本）</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衢院招2024-25</w:t>
      </w:r>
    </w:p>
    <w:p>
      <w:pPr>
        <w:spacing w:line="420" w:lineRule="exact"/>
        <w:rPr>
          <w:rFonts w:hint="eastAsia" w:ascii="宋体" w:hAnsi="宋体" w:eastAsia="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color w:val="000000"/>
          <w:spacing w:val="20"/>
          <w:sz w:val="32"/>
          <w:szCs w:val="32"/>
        </w:rPr>
        <w:t>项目名称：</w:t>
      </w:r>
      <w:r>
        <w:rPr>
          <w:rFonts w:hint="eastAsia" w:ascii="宋体" w:hAnsi="宋体" w:cs="宋体"/>
          <w:color w:val="000000"/>
          <w:spacing w:val="20"/>
          <w:sz w:val="32"/>
          <w:szCs w:val="32"/>
          <w:lang w:val="en-US" w:eastAsia="zh-CN"/>
        </w:rPr>
        <w:t>校园新能源汽车充电服务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b/>
          <w:bCs/>
          <w:color w:val="000000"/>
          <w:sz w:val="32"/>
          <w:szCs w:val="32"/>
        </w:rPr>
      </w:pPr>
      <w:r>
        <w:rPr>
          <w:rFonts w:hint="eastAsia" w:ascii="宋体" w:hAnsi="宋体" w:eastAsia="宋体" w:cs="宋体"/>
          <w:color w:val="000000"/>
          <w:spacing w:val="20"/>
          <w:sz w:val="32"/>
          <w:szCs w:val="32"/>
        </w:rPr>
        <w:t>法定代表人或全权代表（签字或签章）：</w:t>
      </w:r>
    </w:p>
    <w:p>
      <w:pPr>
        <w:rPr>
          <w:rFonts w:hint="eastAsia" w:ascii="宋体" w:hAnsi="宋体" w:eastAsia="宋体" w:cs="宋体"/>
          <w:bCs/>
          <w:color w:val="000000"/>
        </w:rPr>
      </w:pPr>
    </w:p>
    <w:p>
      <w:pPr>
        <w:rPr>
          <w:rFonts w:hint="eastAsia" w:ascii="宋体" w:hAnsi="宋体" w:eastAsia="宋体" w:cs="宋体"/>
          <w:bCs/>
          <w:color w:val="000000"/>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autoSpaceDE w:val="0"/>
        <w:autoSpaceDN w:val="0"/>
        <w:adjustRightInd w:val="0"/>
        <w:spacing w:line="500" w:lineRule="exact"/>
        <w:jc w:val="left"/>
        <w:rPr>
          <w:rFonts w:hint="eastAsia" w:ascii="宋体" w:hAnsi="宋体" w:eastAsia="宋体" w:cs="宋体"/>
          <w:b/>
          <w:sz w:val="28"/>
          <w:szCs w:val="28"/>
        </w:rPr>
      </w:pPr>
      <w:r>
        <w:rPr>
          <w:rFonts w:hint="eastAsia" w:ascii="宋体" w:hAnsi="宋体" w:eastAsia="宋体" w:cs="宋体"/>
          <w:b/>
          <w:sz w:val="28"/>
          <w:szCs w:val="28"/>
        </w:rPr>
        <w:t>格式三：</w:t>
      </w:r>
    </w:p>
    <w:p>
      <w:pPr>
        <w:autoSpaceDE w:val="0"/>
        <w:autoSpaceDN w:val="0"/>
        <w:adjustRightInd w:val="0"/>
        <w:spacing w:line="500" w:lineRule="exact"/>
        <w:jc w:val="center"/>
        <w:rPr>
          <w:rFonts w:hint="eastAsia" w:ascii="宋体" w:hAnsi="宋体" w:eastAsia="宋体" w:cs="宋体"/>
          <w:b/>
          <w:bCs/>
          <w:sz w:val="32"/>
          <w:szCs w:val="32"/>
          <w:lang w:val="zh-CN"/>
        </w:rPr>
      </w:pPr>
    </w:p>
    <w:p>
      <w:pPr>
        <w:autoSpaceDE w:val="0"/>
        <w:autoSpaceDN w:val="0"/>
        <w:adjustRightInd w:val="0"/>
        <w:spacing w:line="500" w:lineRule="exact"/>
        <w:jc w:val="center"/>
        <w:outlineLvl w:val="0"/>
        <w:rPr>
          <w:rFonts w:hint="eastAsia" w:ascii="宋体" w:hAnsi="宋体" w:eastAsia="宋体" w:cs="宋体"/>
          <w:b/>
          <w:bCs/>
          <w:sz w:val="32"/>
          <w:szCs w:val="32"/>
          <w:lang w:val="zh-CN"/>
        </w:rPr>
      </w:pPr>
      <w:bookmarkStart w:id="12" w:name="_Toc30502"/>
      <w:r>
        <w:rPr>
          <w:rFonts w:hint="eastAsia" w:ascii="宋体" w:hAnsi="宋体" w:eastAsia="宋体" w:cs="宋体"/>
          <w:b/>
          <w:bCs/>
          <w:sz w:val="32"/>
          <w:szCs w:val="32"/>
          <w:lang w:val="zh-CN"/>
        </w:rPr>
        <w:t>投 标 函</w:t>
      </w:r>
      <w:bookmarkEnd w:id="12"/>
    </w:p>
    <w:p>
      <w:pPr>
        <w:autoSpaceDE w:val="0"/>
        <w:autoSpaceDN w:val="0"/>
        <w:adjustRightInd w:val="0"/>
        <w:spacing w:line="360" w:lineRule="auto"/>
        <w:jc w:val="left"/>
        <w:rPr>
          <w:rFonts w:hint="eastAsia" w:ascii="宋体" w:hAnsi="宋体" w:eastAsia="宋体" w:cs="宋体"/>
          <w:sz w:val="28"/>
          <w:szCs w:val="28"/>
          <w:lang w:val="zh-CN"/>
        </w:rPr>
      </w:pPr>
    </w:p>
    <w:p>
      <w:pPr>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zh-CN"/>
        </w:rPr>
        <w:t>致：衢州学院</w:t>
      </w:r>
    </w:p>
    <w:p>
      <w:pPr>
        <w:autoSpaceDE w:val="0"/>
        <w:autoSpaceDN w:val="0"/>
        <w:adjustRightInd w:val="0"/>
        <w:spacing w:line="360" w:lineRule="auto"/>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(投标单位全称)授权</w:t>
      </w:r>
      <w:r>
        <w:rPr>
          <w:rFonts w:hint="eastAsia" w:ascii="宋体" w:hAnsi="宋体" w:eastAsia="宋体" w:cs="宋体"/>
          <w:sz w:val="28"/>
          <w:szCs w:val="28"/>
          <w:u w:val="single"/>
          <w:lang w:val="zh-CN"/>
        </w:rPr>
        <w:t xml:space="preserve">              </w:t>
      </w:r>
    </w:p>
    <w:p>
      <w:pPr>
        <w:autoSpaceDE w:val="0"/>
        <w:autoSpaceDN w:val="0"/>
        <w:adjustRightInd w:val="0"/>
        <w:spacing w:line="360" w:lineRule="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（全名、职务）为全权代表，参加贵方组织</w:t>
      </w:r>
      <w:r>
        <w:rPr>
          <w:rFonts w:hint="eastAsia" w:ascii="宋体" w:hAnsi="宋体" w:eastAsia="宋体" w:cs="宋体"/>
          <w:spacing w:val="20"/>
          <w:sz w:val="28"/>
          <w:szCs w:val="28"/>
        </w:rPr>
        <w:t>的</w:t>
      </w:r>
      <w:r>
        <w:rPr>
          <w:rFonts w:hint="eastAsia" w:ascii="宋体" w:hAnsi="宋体" w:cs="宋体"/>
          <w:spacing w:val="20"/>
          <w:sz w:val="28"/>
          <w:szCs w:val="28"/>
          <w:u w:val="single"/>
          <w:lang w:val="en-US" w:eastAsia="zh-CN"/>
        </w:rPr>
        <w:t>校园新能源汽车充电服务</w:t>
      </w:r>
      <w:r>
        <w:rPr>
          <w:rFonts w:hint="eastAsia" w:ascii="宋体" w:hAnsi="宋体" w:eastAsia="宋体" w:cs="宋体"/>
          <w:b/>
          <w:bCs/>
          <w:color w:val="000000"/>
          <w:kern w:val="0"/>
          <w:sz w:val="28"/>
          <w:szCs w:val="28"/>
          <w:u w:val="single"/>
          <w:lang w:eastAsia="zh-CN"/>
        </w:rPr>
        <w:t>项目</w:t>
      </w:r>
      <w:r>
        <w:rPr>
          <w:rFonts w:hint="eastAsia" w:ascii="宋体" w:hAnsi="宋体" w:eastAsia="宋体" w:cs="宋体"/>
          <w:sz w:val="28"/>
          <w:szCs w:val="28"/>
          <w:lang w:val="zh-CN"/>
        </w:rPr>
        <w:t>（项目编号：</w:t>
      </w:r>
      <w:r>
        <w:rPr>
          <w:rFonts w:hint="eastAsia" w:ascii="宋体" w:hAnsi="宋体" w:cs="宋体"/>
          <w:b/>
          <w:sz w:val="28"/>
          <w:szCs w:val="28"/>
          <w:u w:val="single"/>
          <w:lang w:val="zh-CN"/>
        </w:rPr>
        <w:t>衢院招2024-25</w:t>
      </w:r>
      <w:r>
        <w:rPr>
          <w:rFonts w:hint="eastAsia" w:ascii="宋体" w:hAnsi="宋体" w:eastAsia="宋体" w:cs="宋体"/>
          <w:sz w:val="28"/>
          <w:szCs w:val="28"/>
          <w:lang w:val="zh-CN"/>
        </w:rPr>
        <w:t>）招标有关活动，并进行投标。为此：</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1.提供投标须知规定的全部投标文件。</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2.投标文件有效期为</w:t>
      </w:r>
      <w:r>
        <w:rPr>
          <w:rFonts w:hint="eastAsia" w:ascii="宋体" w:hAnsi="宋体" w:eastAsia="宋体" w:cs="宋体"/>
          <w:sz w:val="28"/>
          <w:szCs w:val="28"/>
        </w:rPr>
        <w:t>投标截止日起</w:t>
      </w:r>
      <w:r>
        <w:rPr>
          <w:rFonts w:hint="eastAsia" w:ascii="宋体" w:hAnsi="宋体" w:eastAsia="宋体" w:cs="宋体"/>
          <w:sz w:val="28"/>
          <w:szCs w:val="28"/>
          <w:u w:val="single"/>
          <w:lang w:val="zh-CN"/>
        </w:rPr>
        <w:t xml:space="preserve">  </w:t>
      </w:r>
      <w:r>
        <w:rPr>
          <w:rFonts w:hint="eastAsia" w:ascii="宋体" w:hAnsi="宋体" w:eastAsia="宋体" w:cs="宋体"/>
          <w:sz w:val="28"/>
          <w:szCs w:val="28"/>
          <w:u w:val="single"/>
        </w:rPr>
        <w:t>90</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天</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地址：</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邮编：</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lang w:val="zh-CN"/>
        </w:rPr>
      </w:pPr>
      <w:r>
        <w:rPr>
          <w:rFonts w:hint="eastAsia" w:ascii="宋体" w:hAnsi="宋体" w:eastAsia="宋体" w:cs="宋体"/>
          <w:sz w:val="28"/>
          <w:szCs w:val="28"/>
          <w:lang w:val="zh-CN"/>
        </w:rPr>
        <w:t>电话：</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传真：</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（公章）</w:t>
      </w:r>
    </w:p>
    <w:p>
      <w:pPr>
        <w:autoSpaceDE w:val="0"/>
        <w:autoSpaceDN w:val="0"/>
        <w:adjustRightInd w:val="0"/>
        <w:spacing w:line="360" w:lineRule="auto"/>
        <w:ind w:firstLine="560" w:firstLineChars="200"/>
        <w:jc w:val="left"/>
        <w:rPr>
          <w:rFonts w:hint="default" w:ascii="宋体" w:hAnsi="宋体" w:eastAsia="宋体" w:cs="宋体"/>
          <w:sz w:val="28"/>
          <w:szCs w:val="28"/>
          <w:u w:val="single"/>
        </w:rPr>
      </w:pPr>
      <w:r>
        <w:rPr>
          <w:rFonts w:hint="eastAsia" w:ascii="宋体" w:hAnsi="宋体" w:eastAsia="宋体" w:cs="宋体"/>
          <w:sz w:val="28"/>
          <w:szCs w:val="28"/>
          <w:lang w:val="zh-CN"/>
        </w:rPr>
        <w:t>全权代表签字：</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投标日期：</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r>
        <w:rPr>
          <w:rFonts w:hint="default" w:ascii="宋体" w:hAnsi="宋体" w:cs="宋体"/>
          <w:sz w:val="28"/>
          <w:szCs w:val="28"/>
          <w:u w:val="none"/>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480" w:lineRule="exact"/>
        <w:jc w:val="left"/>
        <w:rPr>
          <w:rFonts w:hint="eastAsia" w:ascii="宋体" w:hAnsi="宋体" w:eastAsia="宋体" w:cs="宋体"/>
          <w:b/>
          <w:sz w:val="32"/>
          <w:szCs w:val="32"/>
        </w:rPr>
      </w:pPr>
    </w:p>
    <w:p>
      <w:pPr>
        <w:spacing w:line="500" w:lineRule="exact"/>
        <w:outlineLvl w:val="1"/>
        <w:rPr>
          <w:rFonts w:hint="eastAsia" w:ascii="宋体" w:hAnsi="宋体" w:eastAsia="宋体" w:cs="宋体"/>
          <w:b/>
          <w:kern w:val="0"/>
          <w:sz w:val="32"/>
          <w:szCs w:val="32"/>
        </w:rPr>
      </w:pPr>
      <w:r>
        <w:rPr>
          <w:rFonts w:hint="eastAsia" w:ascii="宋体" w:hAnsi="宋体" w:eastAsia="宋体" w:cs="宋体"/>
          <w:b/>
          <w:kern w:val="0"/>
          <w:sz w:val="32"/>
          <w:szCs w:val="32"/>
        </w:rPr>
        <w:t>格式四：</w:t>
      </w:r>
    </w:p>
    <w:p>
      <w:pPr>
        <w:spacing w:line="500" w:lineRule="exact"/>
        <w:jc w:val="center"/>
        <w:outlineLvl w:val="9"/>
        <w:rPr>
          <w:rFonts w:hint="eastAsia" w:ascii="宋体" w:hAnsi="宋体" w:eastAsia="宋体" w:cs="宋体"/>
          <w:b/>
          <w:kern w:val="0"/>
          <w:sz w:val="32"/>
          <w:szCs w:val="32"/>
        </w:rPr>
      </w:pPr>
    </w:p>
    <w:p>
      <w:pPr>
        <w:spacing w:line="500" w:lineRule="exact"/>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法定代表人身份证明</w:t>
      </w:r>
    </w:p>
    <w:p>
      <w:pPr>
        <w:pStyle w:val="9"/>
        <w:tabs>
          <w:tab w:val="left" w:pos="6840"/>
        </w:tabs>
        <w:spacing w:line="500" w:lineRule="exact"/>
        <w:ind w:firstLine="480"/>
        <w:rPr>
          <w:rFonts w:hint="eastAsia" w:ascii="宋体" w:hAnsi="宋体" w:eastAsia="宋体" w:cs="宋体"/>
          <w:kern w:val="0"/>
          <w:sz w:val="28"/>
          <w:szCs w:val="28"/>
        </w:rPr>
      </w:pPr>
    </w:p>
    <w:p>
      <w:pPr>
        <w:pStyle w:val="9"/>
        <w:tabs>
          <w:tab w:val="left" w:pos="684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投标单位名称：</w:t>
      </w:r>
      <w:r>
        <w:rPr>
          <w:rFonts w:hint="eastAsia" w:ascii="宋体" w:hAnsi="宋体" w:eastAsia="宋体" w:cs="宋体"/>
          <w:kern w:val="0"/>
          <w:sz w:val="28"/>
          <w:szCs w:val="28"/>
          <w:u w:val="single"/>
        </w:rPr>
        <w:t xml:space="preserve">                                            </w:t>
      </w:r>
    </w:p>
    <w:p>
      <w:pPr>
        <w:pStyle w:val="9"/>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pStyle w:val="9"/>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pStyle w:val="9"/>
        <w:spacing w:line="500" w:lineRule="exact"/>
        <w:ind w:firstLine="480"/>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9"/>
        <w:tabs>
          <w:tab w:val="left" w:pos="6660"/>
          <w:tab w:val="left" w:pos="702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pStyle w:val="9"/>
        <w:spacing w:line="500" w:lineRule="exact"/>
        <w:ind w:left="456" w:leftChars="228"/>
        <w:rPr>
          <w:rFonts w:hint="eastAsia" w:ascii="宋体" w:hAnsi="宋体" w:eastAsia="宋体" w:cs="宋体"/>
          <w:kern w:val="0"/>
          <w:sz w:val="28"/>
          <w:szCs w:val="28"/>
          <w:u w:val="single"/>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年龄：</w:t>
      </w:r>
      <w:r>
        <w:rPr>
          <w:rFonts w:hint="eastAsia" w:ascii="宋体" w:hAnsi="宋体" w:eastAsia="宋体" w:cs="宋体"/>
          <w:kern w:val="0"/>
          <w:sz w:val="28"/>
          <w:szCs w:val="28"/>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（投标人名称）的法定代表人（负责人）。</w:t>
      </w:r>
    </w:p>
    <w:p>
      <w:pPr>
        <w:pStyle w:val="9"/>
        <w:spacing w:line="500" w:lineRule="exact"/>
        <w:ind w:firstLine="980" w:firstLineChars="350"/>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pStyle w:val="9"/>
        <w:spacing w:line="500" w:lineRule="exact"/>
        <w:ind w:firstLine="560" w:firstLineChars="200"/>
        <w:rPr>
          <w:rFonts w:hint="eastAsia" w:ascii="宋体" w:hAnsi="宋体" w:eastAsia="宋体" w:cs="宋体"/>
          <w:kern w:val="0"/>
          <w:sz w:val="28"/>
          <w:szCs w:val="28"/>
        </w:rPr>
      </w:pPr>
    </w:p>
    <w:p>
      <w:pPr>
        <w:pStyle w:val="9"/>
        <w:spacing w:line="5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pStyle w:val="9"/>
        <w:spacing w:line="500" w:lineRule="exact"/>
        <w:ind w:firstLine="3780" w:firstLineChars="1350"/>
        <w:jc w:val="center"/>
        <w:rPr>
          <w:rFonts w:hint="eastAsia" w:ascii="宋体" w:hAnsi="宋体" w:eastAsia="宋体" w:cs="宋体"/>
          <w:kern w:val="0"/>
          <w:sz w:val="28"/>
          <w:szCs w:val="28"/>
          <w:u w:val="single"/>
        </w:rPr>
      </w:pPr>
    </w:p>
    <w:p>
      <w:pPr>
        <w:pStyle w:val="9"/>
        <w:spacing w:line="500" w:lineRule="exact"/>
        <w:ind w:firstLine="3780" w:firstLineChars="1350"/>
        <w:jc w:val="center"/>
        <w:rPr>
          <w:rFonts w:hint="eastAsia" w:ascii="宋体" w:hAnsi="宋体" w:eastAsia="宋体" w:cs="宋体"/>
          <w:kern w:val="0"/>
          <w:sz w:val="28"/>
          <w:szCs w:val="28"/>
          <w:u w:val="single"/>
        </w:rPr>
      </w:pPr>
    </w:p>
    <w:p>
      <w:pPr>
        <w:pStyle w:val="9"/>
        <w:spacing w:line="500" w:lineRule="exact"/>
        <w:ind w:firstLine="3780" w:firstLineChars="1350"/>
        <w:jc w:val="center"/>
        <w:rPr>
          <w:rFonts w:hint="eastAsia" w:ascii="宋体" w:hAnsi="宋体" w:eastAsia="宋体" w:cs="宋体"/>
          <w:kern w:val="0"/>
          <w:sz w:val="28"/>
          <w:szCs w:val="28"/>
          <w:u w:val="single"/>
        </w:rPr>
      </w:pPr>
    </w:p>
    <w:p>
      <w:pPr>
        <w:pStyle w:val="9"/>
        <w:spacing w:line="500" w:lineRule="exact"/>
        <w:ind w:firstLine="3780" w:firstLineChars="1350"/>
        <w:jc w:val="center"/>
        <w:rPr>
          <w:rFonts w:hint="eastAsia" w:ascii="宋体" w:hAnsi="宋体" w:eastAsia="宋体" w:cs="宋体"/>
          <w:kern w:val="0"/>
          <w:sz w:val="28"/>
          <w:szCs w:val="28"/>
          <w:u w:val="single"/>
        </w:rPr>
      </w:pPr>
    </w:p>
    <w:p>
      <w:pPr>
        <w:pStyle w:val="9"/>
        <w:spacing w:line="500" w:lineRule="exact"/>
        <w:ind w:firstLine="3780" w:firstLineChars="1350"/>
        <w:jc w:val="center"/>
        <w:rPr>
          <w:rFonts w:hint="eastAsia" w:ascii="宋体" w:hAnsi="宋体" w:eastAsia="宋体" w:cs="宋体"/>
          <w:kern w:val="0"/>
          <w:sz w:val="28"/>
          <w:szCs w:val="28"/>
          <w:u w:val="single"/>
        </w:rPr>
      </w:pPr>
    </w:p>
    <w:p>
      <w:pPr>
        <w:pStyle w:val="9"/>
        <w:spacing w:line="500" w:lineRule="exact"/>
        <w:ind w:firstLine="3780" w:firstLineChars="1350"/>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adjustRightInd w:val="0"/>
        <w:spacing w:line="500" w:lineRule="exact"/>
        <w:rPr>
          <w:rFonts w:hint="eastAsia" w:ascii="宋体" w:hAnsi="宋体" w:eastAsia="宋体" w:cs="宋体"/>
          <w:b/>
          <w:bCs/>
          <w:color w:val="333333"/>
          <w:kern w:val="0"/>
          <w:sz w:val="28"/>
          <w:szCs w:val="28"/>
          <w:lang w:val="zh-CN"/>
        </w:rPr>
      </w:pPr>
      <w:bookmarkStart w:id="13" w:name="_Toc207382109"/>
      <w:bookmarkStart w:id="14" w:name="_Toc208248342"/>
      <w:bookmarkStart w:id="15" w:name="_Toc230589262"/>
      <w:bookmarkStart w:id="16" w:name="_Toc229970929"/>
      <w:bookmarkStart w:id="17" w:name="_Toc208586401"/>
      <w:bookmarkStart w:id="18" w:name="_Toc300133574"/>
      <w:bookmarkStart w:id="19" w:name="_Toc235437017"/>
      <w:bookmarkStart w:id="20" w:name="_Toc229974211"/>
      <w:bookmarkStart w:id="21" w:name="_Toc228278091"/>
      <w:bookmarkStart w:id="22" w:name="_Toc203234579"/>
      <w:bookmarkStart w:id="23" w:name="_Toc208322523"/>
      <w:bookmarkStart w:id="24" w:name="_Toc235535004"/>
      <w:bookmarkStart w:id="25" w:name="_Toc231283507"/>
      <w:bookmarkStart w:id="26" w:name="_Toc203235123"/>
      <w:bookmarkStart w:id="27" w:name="_Toc202880936"/>
      <w:bookmarkStart w:id="28" w:name="_Toc227146985"/>
    </w:p>
    <w:p>
      <w:pPr>
        <w:widowControl/>
        <w:adjustRightInd w:val="0"/>
        <w:rPr>
          <w:rFonts w:hint="eastAsia" w:ascii="宋体" w:hAnsi="宋体" w:eastAsia="宋体" w:cs="宋体"/>
          <w:b/>
          <w:bCs/>
          <w:color w:val="333333"/>
          <w:kern w:val="0"/>
          <w:sz w:val="28"/>
          <w:szCs w:val="28"/>
          <w:lang w:val="zh-CN"/>
        </w:rPr>
      </w:pP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格式五:</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autoSpaceDE w:val="0"/>
        <w:autoSpaceDN w:val="0"/>
        <w:adjustRightInd w:val="0"/>
        <w:spacing w:line="360" w:lineRule="auto"/>
        <w:rPr>
          <w:rFonts w:hint="eastAsia" w:ascii="宋体" w:hAnsi="宋体" w:eastAsia="宋体" w:cs="宋体"/>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法定代表人授权书</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（投标单位全称）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法定代表人</w:t>
      </w:r>
    </w:p>
    <w:p>
      <w:pPr>
        <w:autoSpaceDE w:val="0"/>
        <w:autoSpaceDN w:val="0"/>
        <w:adjustRightInd w:val="0"/>
        <w:spacing w:line="360" w:lineRule="auto"/>
        <w:rPr>
          <w:rFonts w:hint="eastAsia" w:ascii="宋体" w:hAnsi="宋体" w:eastAsia="宋体" w:cs="宋体"/>
          <w:sz w:val="28"/>
          <w:szCs w:val="28"/>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（全权代表名字）为全权代表，参加贵单位组织的</w:t>
      </w:r>
      <w:r>
        <w:rPr>
          <w:rFonts w:hint="eastAsia" w:ascii="宋体" w:hAnsi="宋体" w:cs="宋体"/>
          <w:color w:val="000000"/>
          <w:sz w:val="28"/>
          <w:szCs w:val="28"/>
          <w:u w:val="single"/>
          <w:lang w:val="zh-CN" w:eastAsia="zh-CN"/>
        </w:rPr>
        <w:t>校园新能源汽车充电服务</w:t>
      </w:r>
      <w:r>
        <w:rPr>
          <w:rFonts w:hint="eastAsia" w:ascii="宋体" w:hAnsi="宋体" w:cs="宋体"/>
          <w:color w:val="000000"/>
          <w:sz w:val="28"/>
          <w:szCs w:val="28"/>
          <w:u w:val="single"/>
          <w:lang w:val="en-US" w:eastAsia="zh-CN"/>
        </w:rPr>
        <w:t>项目</w:t>
      </w:r>
      <w:r>
        <w:rPr>
          <w:rFonts w:hint="eastAsia" w:ascii="宋体" w:hAnsi="宋体" w:cs="宋体"/>
          <w:color w:val="000000"/>
          <w:sz w:val="28"/>
          <w:szCs w:val="28"/>
          <w:u w:val="single"/>
          <w:lang w:val="zh-CN" w:eastAsia="zh-CN"/>
        </w:rPr>
        <w:t>（项目编号：衢院招2024-25）</w:t>
      </w:r>
      <w:r>
        <w:rPr>
          <w:rFonts w:hint="eastAsia" w:ascii="宋体" w:hAnsi="宋体" w:eastAsia="宋体" w:cs="宋体"/>
          <w:color w:val="000000"/>
          <w:sz w:val="28"/>
          <w:szCs w:val="28"/>
          <w:lang w:val="zh-CN"/>
        </w:rPr>
        <w:t>招标，</w:t>
      </w:r>
      <w:r>
        <w:rPr>
          <w:rFonts w:hint="eastAsia" w:ascii="宋体" w:hAnsi="宋体" w:eastAsia="宋体" w:cs="宋体"/>
          <w:sz w:val="28"/>
          <w:szCs w:val="28"/>
          <w:lang w:val="zh-CN"/>
        </w:rPr>
        <w:t>并全权处理采购活动中的一切事宜。</w:t>
      </w:r>
    </w:p>
    <w:p>
      <w:pPr>
        <w:snapToGrid w:val="0"/>
        <w:spacing w:line="360" w:lineRule="auto"/>
        <w:rPr>
          <w:rFonts w:hint="eastAsia" w:ascii="宋体" w:hAnsi="宋体" w:eastAsia="宋体" w:cs="宋体"/>
          <w:sz w:val="28"/>
          <w:szCs w:val="28"/>
          <w:lang w:val="zh-CN"/>
        </w:rPr>
      </w:pPr>
      <w:r>
        <w:rPr>
          <w:rFonts w:hint="eastAsia" w:ascii="宋体" w:hAnsi="宋体" w:eastAsia="宋体" w:cs="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hint="eastAsia" w:ascii="宋体" w:hAnsi="宋体" w:eastAsia="宋体" w:cs="宋体"/>
          <w:sz w:val="28"/>
          <w:szCs w:val="28"/>
          <w:lang w:val="zh-CN"/>
        </w:rPr>
      </w:pPr>
      <w:r>
        <w:rPr>
          <w:rFonts w:hint="eastAsia" w:ascii="宋体" w:hAnsi="宋体" w:eastAsia="宋体" w:cs="宋体"/>
          <w:sz w:val="28"/>
          <w:szCs w:val="28"/>
          <w:lang w:val="zh-CN"/>
        </w:rPr>
        <w:t>全权代表无转委托权，特此委托。</w:t>
      </w:r>
    </w:p>
    <w:p>
      <w:pPr>
        <w:autoSpaceDE w:val="0"/>
        <w:autoSpaceDN w:val="0"/>
        <w:adjustRightInd w:val="0"/>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pPr>
        <w:autoSpaceDE w:val="0"/>
        <w:autoSpaceDN w:val="0"/>
        <w:adjustRightInd w:val="0"/>
        <w:spacing w:line="460" w:lineRule="exact"/>
        <w:ind w:left="150" w:right="560" w:firstLine="4340" w:firstLineChars="1550"/>
        <w:rPr>
          <w:rFonts w:hint="eastAsia" w:ascii="宋体" w:hAnsi="宋体" w:eastAsia="宋体" w:cs="宋体"/>
          <w:sz w:val="28"/>
          <w:szCs w:val="28"/>
        </w:rPr>
      </w:pPr>
      <w:r>
        <w:rPr>
          <w:rFonts w:hint="eastAsia" w:ascii="宋体" w:hAnsi="宋体" w:eastAsia="宋体" w:cs="宋体"/>
          <w:sz w:val="28"/>
          <w:szCs w:val="28"/>
          <w:lang w:val="zh-CN"/>
        </w:rPr>
        <w:t>法定代表人签字或签章：</w:t>
      </w:r>
    </w:p>
    <w:p>
      <w:pPr>
        <w:autoSpaceDE w:val="0"/>
        <w:autoSpaceDN w:val="0"/>
        <w:adjustRightInd w:val="0"/>
        <w:spacing w:line="360" w:lineRule="auto"/>
        <w:ind w:left="810" w:leftChars="405" w:firstLine="4620" w:firstLineChars="165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autoSpaceDE w:val="0"/>
        <w:autoSpaceDN w:val="0"/>
        <w:adjustRightInd w:val="0"/>
        <w:spacing w:line="360" w:lineRule="auto"/>
        <w:ind w:left="315"/>
        <w:rPr>
          <w:rFonts w:hint="eastAsia" w:ascii="宋体" w:hAnsi="宋体" w:eastAsia="宋体" w:cs="宋体"/>
          <w:color w:val="000000"/>
          <w:sz w:val="28"/>
          <w:szCs w:val="28"/>
          <w:lang w:val="zh-CN"/>
        </w:rPr>
      </w:pPr>
    </w:p>
    <w:p>
      <w:pPr>
        <w:autoSpaceDE w:val="0"/>
        <w:autoSpaceDN w:val="0"/>
        <w:adjustRightInd w:val="0"/>
        <w:spacing w:line="360" w:lineRule="auto"/>
        <w:ind w:left="315"/>
        <w:rPr>
          <w:rFonts w:hint="eastAsia" w:ascii="宋体" w:hAnsi="宋体" w:eastAsia="宋体" w:cs="宋体"/>
          <w:sz w:val="28"/>
          <w:szCs w:val="28"/>
        </w:rPr>
      </w:pPr>
      <w:r>
        <w:rPr>
          <w:rFonts w:hint="eastAsia" w:ascii="宋体" w:hAnsi="宋体" w:eastAsia="宋体" w:cs="宋体"/>
          <w:color w:val="000000"/>
          <w:sz w:val="28"/>
          <w:szCs w:val="28"/>
          <w:lang w:val="zh-CN"/>
        </w:rPr>
        <w:t>全权</w:t>
      </w:r>
      <w:r>
        <w:rPr>
          <w:rFonts w:hint="eastAsia" w:ascii="宋体" w:hAnsi="宋体" w:eastAsia="宋体" w:cs="宋体"/>
          <w:sz w:val="28"/>
          <w:szCs w:val="28"/>
          <w:lang w:val="zh-CN"/>
        </w:rPr>
        <w:t>代表姓名：</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职务：</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u w:val="single"/>
          <w:lang w:val="zh-CN"/>
        </w:rPr>
      </w:pPr>
      <w:r>
        <w:rPr>
          <w:rFonts w:hint="eastAsia" w:ascii="宋体" w:hAnsi="宋体" w:eastAsia="宋体" w:cs="宋体"/>
          <w:sz w:val="28"/>
          <w:szCs w:val="28"/>
          <w:lang w:val="zh-CN"/>
        </w:rPr>
        <w:t>身份证号码：</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sz w:val="28"/>
          <w:szCs w:val="28"/>
          <w:lang w:val="zh-CN"/>
        </w:rPr>
        <w:t>详细通讯地址</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b/>
          <w:color w:val="000000"/>
          <w:sz w:val="28"/>
          <w:szCs w:val="28"/>
        </w:rPr>
      </w:pPr>
      <w:r>
        <w:rPr>
          <w:rFonts w:hint="eastAsia" w:ascii="宋体" w:hAnsi="宋体" w:eastAsia="宋体" w:cs="宋体"/>
          <w:color w:val="000000"/>
          <w:sz w:val="28"/>
          <w:szCs w:val="28"/>
          <w:lang w:val="zh-CN"/>
        </w:rPr>
        <w:t>传真：</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电话：</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邮编：</w:t>
      </w:r>
      <w:r>
        <w:rPr>
          <w:rFonts w:hint="eastAsia" w:ascii="宋体" w:hAnsi="宋体" w:eastAsia="宋体" w:cs="宋体"/>
          <w:color w:val="000000"/>
          <w:sz w:val="28"/>
          <w:szCs w:val="28"/>
          <w:u w:val="single"/>
          <w:lang w:val="zh-CN"/>
        </w:rPr>
        <w:t xml:space="preserve">            </w:t>
      </w:r>
    </w:p>
    <w:p>
      <w:pPr>
        <w:spacing w:line="500" w:lineRule="exact"/>
        <w:outlineLvl w:val="1"/>
        <w:rPr>
          <w:rFonts w:hint="eastAsia" w:ascii="宋体" w:hAnsi="宋体" w:eastAsia="宋体" w:cs="宋体"/>
          <w:b/>
          <w:sz w:val="28"/>
          <w:szCs w:val="28"/>
        </w:rPr>
      </w:pP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六</w:t>
      </w:r>
      <w:r>
        <w:rPr>
          <w:rFonts w:hint="eastAsia" w:ascii="宋体" w:hAnsi="宋体" w:eastAsia="宋体" w:cs="宋体"/>
          <w:b/>
          <w:sz w:val="28"/>
          <w:szCs w:val="28"/>
        </w:rPr>
        <w:t>：</w:t>
      </w:r>
    </w:p>
    <w:p>
      <w:pPr>
        <w:spacing w:line="700" w:lineRule="exact"/>
        <w:jc w:val="center"/>
        <w:outlineLvl w:val="0"/>
        <w:rPr>
          <w:rFonts w:hint="eastAsia" w:ascii="宋体" w:hAnsi="宋体" w:eastAsia="宋体" w:cs="宋体"/>
          <w:b/>
          <w:bCs/>
          <w:sz w:val="32"/>
          <w:szCs w:val="32"/>
        </w:rPr>
      </w:pPr>
      <w:bookmarkStart w:id="29" w:name="_Toc20481"/>
      <w:r>
        <w:rPr>
          <w:rFonts w:hint="eastAsia" w:ascii="宋体" w:hAnsi="宋体" w:eastAsia="宋体" w:cs="宋体"/>
          <w:b/>
          <w:bCs/>
          <w:sz w:val="32"/>
          <w:szCs w:val="32"/>
        </w:rPr>
        <w:t>同类项目业绩一览表</w:t>
      </w:r>
      <w:bookmarkEnd w:id="29"/>
    </w:p>
    <w:p>
      <w:pPr>
        <w:autoSpaceDE w:val="0"/>
        <w:autoSpaceDN w:val="0"/>
        <w:adjustRightInd w:val="0"/>
        <w:spacing w:line="360" w:lineRule="auto"/>
        <w:ind w:firstLine="283"/>
        <w:jc w:val="left"/>
        <w:rPr>
          <w:rFonts w:hint="eastAsia" w:ascii="宋体" w:hAnsi="宋体" w:eastAsia="宋体" w:cs="宋体"/>
          <w:b/>
          <w:sz w:val="28"/>
          <w:szCs w:val="28"/>
          <w:lang w:val="en-US" w:eastAsia="zh-CN"/>
        </w:rPr>
      </w:pPr>
      <w:r>
        <w:rPr>
          <w:rFonts w:hint="eastAsia" w:ascii="宋体" w:hAnsi="宋体" w:eastAsia="宋体" w:cs="宋体"/>
          <w:b/>
          <w:bCs/>
          <w:sz w:val="28"/>
          <w:szCs w:val="28"/>
          <w:lang w:val="zh-CN"/>
        </w:rPr>
        <w:t>项目编号：</w:t>
      </w:r>
      <w:r>
        <w:rPr>
          <w:rFonts w:hint="eastAsia" w:ascii="宋体" w:hAnsi="宋体" w:cs="宋体"/>
          <w:b/>
          <w:bCs/>
          <w:color w:val="000000" w:themeColor="text1"/>
          <w:sz w:val="30"/>
          <w:szCs w:val="30"/>
          <w:lang w:val="zh-CN"/>
          <w14:textFill>
            <w14:solidFill>
              <w14:schemeClr w14:val="tx1"/>
            </w14:solidFill>
          </w14:textFill>
        </w:rPr>
        <w:t>衢院招2024-25</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eastAsia="宋体" w:cs="宋体"/>
          <w:b/>
          <w:bCs/>
          <w:sz w:val="28"/>
          <w:szCs w:val="28"/>
          <w:lang w:val="zh-CN"/>
        </w:rPr>
        <w:t>项目名称：</w:t>
      </w:r>
      <w:r>
        <w:rPr>
          <w:rFonts w:hint="eastAsia" w:ascii="宋体" w:hAnsi="宋体" w:cs="宋体"/>
          <w:b/>
          <w:bCs/>
          <w:sz w:val="28"/>
          <w:szCs w:val="28"/>
          <w:lang w:val="en-US" w:eastAsia="zh-CN"/>
        </w:rPr>
        <w:t>校园新能源汽车充电服务</w:t>
      </w:r>
      <w:r>
        <w:rPr>
          <w:rFonts w:hint="eastAsia" w:ascii="宋体" w:hAnsi="宋体" w:eastAsia="宋体" w:cs="宋体"/>
          <w:b/>
          <w:bCs/>
          <w:sz w:val="28"/>
          <w:szCs w:val="28"/>
          <w:lang w:eastAsia="zh-CN"/>
        </w:rPr>
        <w:t>项目</w:t>
      </w: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序号</w:t>
            </w:r>
          </w:p>
        </w:tc>
        <w:tc>
          <w:tcPr>
            <w:tcW w:w="2205"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项目名称</w:t>
            </w:r>
          </w:p>
        </w:tc>
        <w:tc>
          <w:tcPr>
            <w:tcW w:w="1791"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中标价（元）</w:t>
            </w:r>
          </w:p>
        </w:tc>
        <w:tc>
          <w:tcPr>
            <w:tcW w:w="1560"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中标通知书签发时间</w:t>
            </w:r>
          </w:p>
        </w:tc>
        <w:tc>
          <w:tcPr>
            <w:tcW w:w="3543"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bl>
    <w:p>
      <w:pPr>
        <w:autoSpaceDE w:val="0"/>
        <w:autoSpaceDN w:val="0"/>
        <w:adjustRightInd w:val="0"/>
        <w:spacing w:line="360" w:lineRule="auto"/>
        <w:ind w:left="315"/>
        <w:rPr>
          <w:rFonts w:hint="eastAsia" w:ascii="宋体" w:hAnsi="宋体" w:eastAsia="宋体" w:cs="宋体"/>
          <w:sz w:val="28"/>
          <w:szCs w:val="28"/>
          <w:lang w:val="zh-CN"/>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rPr>
          <w:rFonts w:hint="eastAsia" w:ascii="宋体" w:hAnsi="宋体" w:eastAsia="宋体" w:cs="宋体"/>
          <w:b/>
          <w:color w:val="000000"/>
          <w:sz w:val="28"/>
          <w:szCs w:val="28"/>
        </w:rPr>
      </w:pPr>
    </w:p>
    <w:p>
      <w:pPr>
        <w:autoSpaceDE w:val="0"/>
        <w:autoSpaceDN w:val="0"/>
        <w:adjustRightInd w:val="0"/>
        <w:spacing w:line="360" w:lineRule="auto"/>
        <w:rPr>
          <w:rFonts w:hint="eastAsia" w:ascii="宋体" w:hAnsi="宋体" w:eastAsia="宋体" w:cs="宋体"/>
          <w:b/>
          <w:sz w:val="28"/>
          <w:szCs w:val="28"/>
        </w:rPr>
      </w:pPr>
    </w:p>
    <w:p>
      <w:pPr>
        <w:autoSpaceDE w:val="0"/>
        <w:autoSpaceDN w:val="0"/>
        <w:adjustRightInd w:val="0"/>
        <w:spacing w:line="360" w:lineRule="auto"/>
        <w:rPr>
          <w:rFonts w:hint="eastAsia" w:ascii="宋体" w:hAnsi="宋体" w:eastAsia="宋体" w:cs="宋体"/>
          <w:b/>
          <w:sz w:val="28"/>
          <w:szCs w:val="28"/>
        </w:rPr>
      </w:pPr>
    </w:p>
    <w:p>
      <w:pPr>
        <w:autoSpaceDE w:val="0"/>
        <w:autoSpaceDN w:val="0"/>
        <w:adjustRightInd w:val="0"/>
        <w:spacing w:line="360" w:lineRule="auto"/>
        <w:rPr>
          <w:rFonts w:hint="eastAsia" w:ascii="宋体" w:hAnsi="宋体" w:eastAsia="宋体" w:cs="宋体"/>
          <w:b/>
          <w:sz w:val="28"/>
          <w:szCs w:val="28"/>
        </w:rPr>
      </w:pPr>
    </w:p>
    <w:p>
      <w:pPr>
        <w:autoSpaceDE w:val="0"/>
        <w:autoSpaceDN w:val="0"/>
        <w:adjustRightInd w:val="0"/>
        <w:spacing w:line="360" w:lineRule="auto"/>
        <w:rPr>
          <w:rFonts w:hint="eastAsia" w:ascii="宋体" w:hAnsi="宋体" w:eastAsia="宋体" w:cs="宋体"/>
          <w:b/>
          <w:sz w:val="28"/>
          <w:szCs w:val="28"/>
        </w:rPr>
      </w:pPr>
    </w:p>
    <w:p>
      <w:pPr>
        <w:autoSpaceDE w:val="0"/>
        <w:autoSpaceDN w:val="0"/>
        <w:adjustRightInd w:val="0"/>
        <w:spacing w:line="360" w:lineRule="auto"/>
        <w:rPr>
          <w:rFonts w:hint="eastAsia" w:ascii="宋体" w:hAnsi="宋体" w:eastAsia="宋体" w:cs="宋体"/>
          <w:b/>
          <w:sz w:val="28"/>
          <w:szCs w:val="28"/>
        </w:rPr>
      </w:pPr>
    </w:p>
    <w:p>
      <w:pPr>
        <w:autoSpaceDE w:val="0"/>
        <w:autoSpaceDN w:val="0"/>
        <w:adjustRightInd w:val="0"/>
        <w:spacing w:line="360" w:lineRule="auto"/>
        <w:rPr>
          <w:rFonts w:hint="eastAsia" w:ascii="宋体" w:hAnsi="宋体" w:eastAsia="宋体" w:cs="宋体"/>
          <w:b/>
          <w:sz w:val="28"/>
          <w:szCs w:val="28"/>
        </w:rPr>
      </w:pPr>
    </w:p>
    <w:p>
      <w:pPr>
        <w:autoSpaceDE w:val="0"/>
        <w:autoSpaceDN w:val="0"/>
        <w:adjustRightInd w:val="0"/>
        <w:spacing w:line="360" w:lineRule="auto"/>
        <w:rPr>
          <w:rFonts w:hint="eastAsia" w:ascii="宋体" w:hAnsi="宋体" w:eastAsia="宋体" w:cs="宋体"/>
          <w:b/>
          <w:sz w:val="28"/>
          <w:szCs w:val="28"/>
        </w:rPr>
      </w:pPr>
    </w:p>
    <w:p>
      <w:pPr>
        <w:autoSpaceDE w:val="0"/>
        <w:autoSpaceDN w:val="0"/>
        <w:adjustRightInd w:val="0"/>
        <w:spacing w:line="360" w:lineRule="auto"/>
        <w:rPr>
          <w:rFonts w:hint="eastAsia" w:ascii="宋体" w:hAnsi="宋体" w:eastAsia="宋体" w:cs="宋体"/>
          <w:b/>
          <w:sz w:val="28"/>
          <w:szCs w:val="28"/>
        </w:rPr>
      </w:pPr>
    </w:p>
    <w:p>
      <w:pPr>
        <w:autoSpaceDE w:val="0"/>
        <w:autoSpaceDN w:val="0"/>
        <w:adjustRightInd w:val="0"/>
        <w:spacing w:line="360" w:lineRule="auto"/>
        <w:rPr>
          <w:rFonts w:hint="eastAsia" w:ascii="宋体" w:hAnsi="宋体" w:eastAsia="宋体" w:cs="宋体"/>
          <w:b/>
          <w:sz w:val="28"/>
          <w:szCs w:val="28"/>
        </w:rPr>
      </w:pP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b/>
          <w:sz w:val="28"/>
          <w:szCs w:val="28"/>
        </w:rPr>
        <w:t>格式</w:t>
      </w:r>
      <w:r>
        <w:rPr>
          <w:rFonts w:hint="eastAsia" w:ascii="宋体" w:hAnsi="宋体" w:cs="宋体"/>
          <w:b/>
          <w:sz w:val="28"/>
          <w:szCs w:val="28"/>
          <w:lang w:val="en-US" w:eastAsia="zh-CN"/>
        </w:rPr>
        <w:t>七</w:t>
      </w:r>
      <w:r>
        <w:rPr>
          <w:rFonts w:hint="eastAsia" w:ascii="宋体" w:hAnsi="宋体" w:eastAsia="宋体" w:cs="宋体"/>
          <w:b/>
          <w:sz w:val="28"/>
          <w:szCs w:val="28"/>
        </w:rPr>
        <w:t>：</w:t>
      </w:r>
    </w:p>
    <w:p>
      <w:pPr>
        <w:spacing w:line="360" w:lineRule="auto"/>
        <w:jc w:val="center"/>
        <w:rPr>
          <w:rFonts w:hint="eastAsia" w:ascii="宋体" w:hAnsi="宋体" w:eastAsia="宋体" w:cs="宋体"/>
          <w:b/>
          <w:sz w:val="36"/>
          <w:szCs w:val="36"/>
        </w:rPr>
      </w:pPr>
      <w:r>
        <w:rPr>
          <w:rFonts w:hint="eastAsia" w:ascii="宋体" w:hAnsi="宋体" w:cs="宋体"/>
          <w:b/>
          <w:sz w:val="36"/>
          <w:szCs w:val="36"/>
          <w:lang w:val="en-US" w:eastAsia="zh-CN"/>
        </w:rPr>
        <w:t>开标</w:t>
      </w:r>
      <w:r>
        <w:rPr>
          <w:rFonts w:hint="eastAsia" w:ascii="宋体" w:hAnsi="宋体" w:eastAsia="宋体" w:cs="宋体"/>
          <w:b/>
          <w:sz w:val="36"/>
          <w:szCs w:val="36"/>
        </w:rPr>
        <w:t>一览表</w:t>
      </w:r>
    </w:p>
    <w:p>
      <w:pPr>
        <w:autoSpaceDE w:val="0"/>
        <w:autoSpaceDN w:val="0"/>
        <w:adjustRightInd w:val="0"/>
        <w:ind w:firstLine="281"/>
        <w:rPr>
          <w:rFonts w:hint="eastAsia" w:ascii="宋体" w:hAnsi="宋体" w:eastAsia="宋体" w:cs="宋体"/>
          <w:b/>
          <w:bCs/>
          <w:sz w:val="24"/>
          <w:lang w:val="zh-CN"/>
        </w:rPr>
      </w:pPr>
    </w:p>
    <w:p>
      <w:pPr>
        <w:autoSpaceDE w:val="0"/>
        <w:autoSpaceDN w:val="0"/>
        <w:adjustRightIn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项目编号：</w:t>
      </w:r>
      <w:r>
        <w:rPr>
          <w:rFonts w:hint="eastAsia" w:ascii="宋体" w:hAnsi="宋体" w:cs="宋体"/>
          <w:b/>
          <w:sz w:val="32"/>
          <w:szCs w:val="32"/>
          <w:lang w:val="zh-CN"/>
        </w:rPr>
        <w:t>衢院招2024-25</w:t>
      </w:r>
      <w:r>
        <w:rPr>
          <w:rFonts w:hint="eastAsia" w:ascii="宋体" w:hAnsi="宋体" w:eastAsia="宋体" w:cs="宋体"/>
          <w:b/>
          <w:sz w:val="32"/>
          <w:szCs w:val="32"/>
          <w:lang w:val="zh-CN"/>
        </w:rPr>
        <w:t xml:space="preserve">  </w:t>
      </w:r>
    </w:p>
    <w:p>
      <w:pPr>
        <w:snapToGri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项目名称：</w:t>
      </w:r>
      <w:r>
        <w:rPr>
          <w:rFonts w:hint="eastAsia" w:ascii="宋体" w:hAnsi="宋体" w:cs="宋体"/>
          <w:b/>
          <w:sz w:val="32"/>
          <w:szCs w:val="32"/>
          <w:lang w:val="zh-CN"/>
        </w:rPr>
        <w:t>校园新能源汽车充电服务</w:t>
      </w:r>
      <w:r>
        <w:rPr>
          <w:rFonts w:hint="eastAsia" w:ascii="宋体" w:hAnsi="宋体" w:eastAsia="宋体" w:cs="宋体"/>
          <w:b/>
          <w:sz w:val="32"/>
          <w:szCs w:val="32"/>
          <w:lang w:val="zh-CN"/>
        </w:rPr>
        <w:t>项目</w:t>
      </w:r>
    </w:p>
    <w:tbl>
      <w:tblPr>
        <w:tblStyle w:val="17"/>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672"/>
        <w:gridCol w:w="2159"/>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66"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序号</w:t>
            </w:r>
          </w:p>
        </w:tc>
        <w:tc>
          <w:tcPr>
            <w:tcW w:w="1441"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报价内容</w:t>
            </w:r>
          </w:p>
        </w:tc>
        <w:tc>
          <w:tcPr>
            <w:tcW w:w="1164" w:type="pct"/>
            <w:noWrap w:val="0"/>
            <w:vAlign w:val="center"/>
          </w:tcPr>
          <w:p>
            <w:pPr>
              <w:adjustRightInd w:val="0"/>
              <w:snapToGrid w:val="0"/>
              <w:jc w:val="center"/>
              <w:rPr>
                <w:rFonts w:hint="eastAsia" w:ascii="宋体" w:hAnsi="宋体" w:eastAsia="宋体" w:cs="宋体"/>
                <w:color w:val="FF0000"/>
                <w:sz w:val="24"/>
                <w:lang w:eastAsia="zh-CN"/>
              </w:rPr>
            </w:pPr>
            <w:r>
              <w:rPr>
                <w:rFonts w:hint="eastAsia" w:ascii="宋体" w:hAnsi="宋体" w:eastAsia="宋体" w:cs="宋体"/>
                <w:color w:val="FF0000"/>
                <w:sz w:val="24"/>
              </w:rPr>
              <w:t>最</w:t>
            </w:r>
            <w:r>
              <w:rPr>
                <w:rFonts w:hint="eastAsia" w:ascii="宋体" w:hAnsi="宋体" w:cs="宋体"/>
                <w:color w:val="FF0000"/>
                <w:sz w:val="24"/>
                <w:lang w:val="en-US" w:eastAsia="zh-CN"/>
              </w:rPr>
              <w:t>高</w:t>
            </w:r>
            <w:r>
              <w:rPr>
                <w:rFonts w:hint="eastAsia" w:ascii="宋体" w:hAnsi="宋体" w:eastAsia="宋体" w:cs="宋体"/>
                <w:color w:val="FF0000"/>
                <w:sz w:val="24"/>
              </w:rPr>
              <w:t>限价</w:t>
            </w:r>
          </w:p>
        </w:tc>
        <w:tc>
          <w:tcPr>
            <w:tcW w:w="1726"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66"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1</w:t>
            </w:r>
          </w:p>
        </w:tc>
        <w:tc>
          <w:tcPr>
            <w:tcW w:w="1441" w:type="pct"/>
            <w:noWrap w:val="0"/>
            <w:vAlign w:val="center"/>
          </w:tcPr>
          <w:p>
            <w:pPr>
              <w:adjustRightInd w:val="0"/>
              <w:snapToGrid w:val="0"/>
              <w:jc w:val="center"/>
              <w:rPr>
                <w:rFonts w:hint="default" w:ascii="宋体" w:hAnsi="宋体" w:eastAsia="宋体" w:cs="宋体"/>
                <w:color w:val="FF0000"/>
                <w:kern w:val="2"/>
                <w:sz w:val="24"/>
                <w:lang w:val="en-US" w:eastAsia="zh-CN" w:bidi="ar-SA"/>
              </w:rPr>
            </w:pPr>
            <w:r>
              <w:rPr>
                <w:rFonts w:hint="eastAsia" w:ascii="宋体" w:hAnsi="宋体" w:cs="宋体"/>
                <w:color w:val="FF0000"/>
                <w:sz w:val="24"/>
                <w:lang w:val="en-US" w:eastAsia="zh-CN"/>
              </w:rPr>
              <w:t>新能源汽车充电服务费</w:t>
            </w:r>
          </w:p>
        </w:tc>
        <w:tc>
          <w:tcPr>
            <w:tcW w:w="1164" w:type="pct"/>
            <w:noWrap w:val="0"/>
            <w:vAlign w:val="center"/>
          </w:tcPr>
          <w:p>
            <w:pPr>
              <w:adjustRightInd w:val="0"/>
              <w:snapToGrid w:val="0"/>
              <w:jc w:val="center"/>
              <w:rPr>
                <w:rFonts w:hint="default" w:ascii="宋体" w:hAnsi="宋体" w:eastAsia="宋体" w:cs="宋体"/>
                <w:color w:val="FF0000"/>
                <w:kern w:val="2"/>
                <w:sz w:val="24"/>
                <w:lang w:val="en-US" w:eastAsia="zh-CN" w:bidi="ar-SA"/>
              </w:rPr>
            </w:pPr>
            <w:r>
              <w:rPr>
                <w:rFonts w:hint="eastAsia" w:ascii="宋体" w:hAnsi="宋体" w:cs="宋体"/>
                <w:color w:val="FF0000"/>
                <w:sz w:val="24"/>
                <w:lang w:val="en-US" w:eastAsia="zh-CN"/>
              </w:rPr>
              <w:t>0.8元/度</w:t>
            </w:r>
          </w:p>
        </w:tc>
        <w:tc>
          <w:tcPr>
            <w:tcW w:w="1726" w:type="pct"/>
            <w:noWrap w:val="0"/>
            <w:vAlign w:val="center"/>
          </w:tcPr>
          <w:p>
            <w:pPr>
              <w:adjustRightInd w:val="0"/>
              <w:snapToGrid w:val="0"/>
              <w:jc w:val="center"/>
              <w:rPr>
                <w:rFonts w:hint="default" w:ascii="宋体" w:hAnsi="宋体" w:eastAsia="宋体" w:cs="宋体"/>
                <w:color w:val="FF0000"/>
                <w:kern w:val="2"/>
                <w:sz w:val="24"/>
                <w:lang w:val="en-US" w:eastAsia="zh-CN" w:bidi="ar-SA"/>
              </w:rPr>
            </w:pPr>
            <w:r>
              <w:rPr>
                <w:rFonts w:hint="eastAsia" w:ascii="宋体" w:hAnsi="宋体" w:eastAsia="宋体" w:cs="宋体"/>
                <w:color w:val="FF0000"/>
                <w:sz w:val="24"/>
                <w:u w:val="single"/>
                <w:lang w:val="en-US" w:eastAsia="zh-CN"/>
              </w:rPr>
              <w:t xml:space="preserve"> </w:t>
            </w:r>
            <w:r>
              <w:rPr>
                <w:rFonts w:hint="eastAsia" w:ascii="宋体" w:hAnsi="宋体" w:cs="宋体"/>
                <w:color w:val="FF0000"/>
                <w:sz w:val="24"/>
                <w:u w:val="single"/>
                <w:lang w:val="en-US" w:eastAsia="zh-CN"/>
              </w:rPr>
              <w:t xml:space="preserve">  </w:t>
            </w: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w:t>
            </w:r>
            <w:r>
              <w:rPr>
                <w:rFonts w:hint="eastAsia" w:ascii="宋体" w:hAnsi="宋体" w:cs="宋体"/>
                <w:color w:val="FF0000"/>
                <w:sz w:val="24"/>
                <w:lang w:val="en-US" w:eastAsia="zh-CN"/>
              </w:rPr>
              <w:t>度</w:t>
            </w:r>
          </w:p>
        </w:tc>
      </w:tr>
    </w:tbl>
    <w:p>
      <w:pPr>
        <w:rPr>
          <w:rFonts w:hint="eastAsia" w:ascii="宋体" w:hAnsi="宋体" w:eastAsia="宋体" w:cs="宋体"/>
          <w:sz w:val="24"/>
        </w:rPr>
      </w:pPr>
    </w:p>
    <w:p>
      <w:pPr>
        <w:spacing w:line="288" w:lineRule="auto"/>
        <w:ind w:right="67"/>
        <w:rPr>
          <w:rFonts w:hint="eastAsia" w:ascii="宋体" w:hAnsi="宋体" w:eastAsia="宋体" w:cs="宋体"/>
          <w:sz w:val="24"/>
        </w:rPr>
      </w:pPr>
      <w:r>
        <w:rPr>
          <w:rFonts w:hint="eastAsia" w:ascii="宋体" w:hAnsi="宋体" w:eastAsia="宋体" w:cs="宋体"/>
          <w:sz w:val="24"/>
          <w:szCs w:val="28"/>
        </w:rPr>
        <w:t>说明：</w:t>
      </w:r>
      <w:r>
        <w:rPr>
          <w:rFonts w:hint="eastAsia" w:ascii="宋体" w:hAnsi="宋体" w:eastAsia="宋体" w:cs="宋体"/>
          <w:sz w:val="24"/>
        </w:rPr>
        <w:t>1.报价为报价人所能承受的一次性最终报价，以人民币为结算币种，不得涂改。</w:t>
      </w:r>
      <w:r>
        <w:rPr>
          <w:rFonts w:hint="eastAsia" w:ascii="宋体" w:hAnsi="宋体" w:cs="宋体"/>
          <w:sz w:val="24"/>
          <w:lang w:val="en-US" w:eastAsia="zh-CN"/>
        </w:rPr>
        <w:t>高</w:t>
      </w:r>
      <w:r>
        <w:rPr>
          <w:rFonts w:hint="eastAsia" w:ascii="宋体" w:hAnsi="宋体" w:eastAsia="宋体" w:cs="宋体"/>
          <w:sz w:val="24"/>
        </w:rPr>
        <w:t>于最</w:t>
      </w:r>
      <w:r>
        <w:rPr>
          <w:rFonts w:hint="eastAsia" w:ascii="宋体" w:hAnsi="宋体" w:cs="宋体"/>
          <w:sz w:val="24"/>
          <w:lang w:val="en-US" w:eastAsia="zh-CN"/>
        </w:rPr>
        <w:t>高</w:t>
      </w:r>
      <w:r>
        <w:rPr>
          <w:rFonts w:hint="eastAsia" w:ascii="宋体" w:hAnsi="宋体" w:eastAsia="宋体" w:cs="宋体"/>
          <w:sz w:val="24"/>
        </w:rPr>
        <w:t>限价的报价商务分为零分。</w:t>
      </w:r>
    </w:p>
    <w:p>
      <w:pPr>
        <w:spacing w:line="288" w:lineRule="auto"/>
        <w:ind w:right="67" w:firstLine="720" w:firstLineChars="300"/>
        <w:rPr>
          <w:rFonts w:hint="eastAsia" w:ascii="宋体" w:hAnsi="宋体" w:eastAsia="宋体" w:cs="宋体"/>
          <w:sz w:val="24"/>
        </w:rPr>
      </w:pPr>
      <w:r>
        <w:rPr>
          <w:rFonts w:hint="eastAsia" w:ascii="宋体" w:hAnsi="宋体" w:eastAsia="宋体" w:cs="宋体"/>
          <w:sz w:val="24"/>
        </w:rPr>
        <w:t>2.投标报价应包括所需的设备、运费、安装施工、人工、服务、维修保养、管理、税费等所发生的一切费用，即按招标人要求完成项目的完工价格。</w:t>
      </w:r>
    </w:p>
    <w:p>
      <w:pPr>
        <w:snapToGrid w:val="0"/>
        <w:spacing w:before="50" w:after="50" w:line="360" w:lineRule="auto"/>
        <w:rPr>
          <w:rFonts w:hint="eastAsia" w:ascii="宋体" w:hAnsi="宋体" w:eastAsia="宋体" w:cs="宋体"/>
          <w:sz w:val="24"/>
        </w:rPr>
      </w:pPr>
    </w:p>
    <w:p>
      <w:pPr>
        <w:snapToGrid w:val="0"/>
        <w:spacing w:before="50" w:after="50" w:line="360" w:lineRule="auto"/>
        <w:ind w:left="4" w:leftChars="-72" w:right="-778" w:rightChars="-389" w:hanging="148" w:hangingChars="62"/>
        <w:rPr>
          <w:rFonts w:hint="eastAsia" w:ascii="宋体" w:hAnsi="宋体" w:eastAsia="宋体" w:cs="宋体"/>
          <w:sz w:val="24"/>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b/>
          <w:bCs/>
          <w:sz w:val="28"/>
          <w:szCs w:val="28"/>
        </w:rPr>
      </w:pPr>
      <w:r>
        <w:rPr>
          <w:rFonts w:hint="eastAsia" w:ascii="宋体" w:hAnsi="宋体" w:eastAsia="宋体" w:cs="宋体"/>
          <w:sz w:val="28"/>
          <w:szCs w:val="28"/>
          <w:lang w:val="zh-CN"/>
        </w:rPr>
        <w:t>日期：      年      月      日</w:t>
      </w:r>
    </w:p>
    <w:p>
      <w:pPr>
        <w:autoSpaceDE w:val="0"/>
        <w:autoSpaceDN w:val="0"/>
        <w:adjustRightInd w:val="0"/>
        <w:spacing w:line="460" w:lineRule="exact"/>
        <w:jc w:val="left"/>
        <w:rPr>
          <w:rFonts w:hint="eastAsia" w:ascii="宋体" w:hAnsi="宋体" w:eastAsia="宋体" w:cs="宋体"/>
          <w:b/>
          <w:bCs/>
          <w:sz w:val="28"/>
          <w:szCs w:val="28"/>
        </w:rPr>
      </w:pPr>
    </w:p>
    <w:p>
      <w:pPr>
        <w:autoSpaceDE w:val="0"/>
        <w:autoSpaceDN w:val="0"/>
        <w:adjustRightInd w:val="0"/>
        <w:spacing w:line="460" w:lineRule="exact"/>
        <w:jc w:val="left"/>
        <w:rPr>
          <w:rFonts w:hint="eastAsia" w:ascii="宋体" w:hAnsi="宋体" w:eastAsia="宋体" w:cs="宋体"/>
          <w:b/>
          <w:bCs/>
          <w:sz w:val="28"/>
          <w:szCs w:val="28"/>
        </w:rPr>
      </w:pPr>
    </w:p>
    <w:p>
      <w:pPr>
        <w:autoSpaceDE w:val="0"/>
        <w:autoSpaceDN w:val="0"/>
        <w:adjustRightInd w:val="0"/>
        <w:spacing w:line="460" w:lineRule="exact"/>
        <w:jc w:val="left"/>
        <w:rPr>
          <w:rFonts w:hint="eastAsia" w:ascii="宋体" w:hAnsi="宋体" w:eastAsia="宋体" w:cs="宋体"/>
          <w:b/>
          <w:bCs/>
          <w:sz w:val="28"/>
          <w:szCs w:val="28"/>
        </w:rPr>
      </w:pPr>
    </w:p>
    <w:p>
      <w:pPr>
        <w:autoSpaceDE w:val="0"/>
        <w:autoSpaceDN w:val="0"/>
        <w:adjustRightInd w:val="0"/>
        <w:spacing w:line="460" w:lineRule="exact"/>
        <w:jc w:val="left"/>
        <w:rPr>
          <w:rFonts w:hint="eastAsia" w:ascii="宋体" w:hAnsi="宋体" w:eastAsia="宋体" w:cs="宋体"/>
          <w:b/>
          <w:bCs/>
          <w:sz w:val="28"/>
          <w:szCs w:val="28"/>
        </w:rPr>
      </w:pPr>
    </w:p>
    <w:p>
      <w:pPr>
        <w:autoSpaceDE w:val="0"/>
        <w:autoSpaceDN w:val="0"/>
        <w:adjustRightInd w:val="0"/>
        <w:spacing w:line="460" w:lineRule="exact"/>
        <w:jc w:val="left"/>
        <w:rPr>
          <w:rFonts w:hint="eastAsia" w:ascii="宋体" w:hAnsi="宋体" w:eastAsia="宋体" w:cs="宋体"/>
          <w:b/>
          <w:bCs/>
          <w:sz w:val="28"/>
          <w:szCs w:val="28"/>
        </w:rPr>
      </w:pPr>
    </w:p>
    <w:p>
      <w:pPr>
        <w:autoSpaceDE w:val="0"/>
        <w:autoSpaceDN w:val="0"/>
        <w:adjustRightInd w:val="0"/>
        <w:spacing w:line="460" w:lineRule="exact"/>
        <w:jc w:val="left"/>
        <w:rPr>
          <w:rFonts w:hint="eastAsia" w:ascii="宋体" w:hAnsi="宋体" w:eastAsia="宋体" w:cs="宋体"/>
          <w:b/>
          <w:bCs/>
          <w:sz w:val="28"/>
          <w:szCs w:val="28"/>
        </w:rPr>
      </w:pPr>
    </w:p>
    <w:p>
      <w:pPr>
        <w:autoSpaceDE w:val="0"/>
        <w:autoSpaceDN w:val="0"/>
        <w:adjustRightInd w:val="0"/>
        <w:spacing w:line="460" w:lineRule="exact"/>
        <w:jc w:val="left"/>
        <w:rPr>
          <w:rFonts w:hint="eastAsia" w:ascii="宋体" w:hAnsi="宋体" w:eastAsia="宋体" w:cs="宋体"/>
          <w:b/>
          <w:spacing w:val="-6"/>
          <w:sz w:val="24"/>
        </w:rPr>
      </w:pPr>
      <w:r>
        <w:rPr>
          <w:rFonts w:hint="eastAsia" w:ascii="宋体" w:hAnsi="宋体" w:eastAsia="宋体" w:cs="宋体"/>
          <w:b/>
          <w:bCs/>
          <w:sz w:val="28"/>
          <w:szCs w:val="28"/>
        </w:rPr>
        <w:t>格式</w:t>
      </w:r>
      <w:r>
        <w:rPr>
          <w:rFonts w:hint="eastAsia" w:ascii="宋体" w:hAnsi="宋体" w:cs="宋体"/>
          <w:b/>
          <w:bCs/>
          <w:sz w:val="28"/>
          <w:szCs w:val="28"/>
          <w:lang w:val="en-US" w:eastAsia="zh-CN"/>
        </w:rPr>
        <w:t>八</w:t>
      </w:r>
      <w:r>
        <w:rPr>
          <w:rFonts w:hint="eastAsia" w:ascii="宋体" w:hAnsi="宋体" w:eastAsia="宋体" w:cs="宋体"/>
          <w:b/>
          <w:bCs/>
          <w:sz w:val="28"/>
          <w:szCs w:val="28"/>
        </w:rPr>
        <w:t>：</w:t>
      </w:r>
    </w:p>
    <w:p>
      <w:pPr>
        <w:autoSpaceDE w:val="0"/>
        <w:autoSpaceDN w:val="0"/>
        <w:adjustRightIn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项目编号：</w:t>
      </w:r>
      <w:r>
        <w:rPr>
          <w:rFonts w:hint="eastAsia" w:ascii="宋体" w:hAnsi="宋体" w:cs="宋体"/>
          <w:b/>
          <w:color w:val="000000" w:themeColor="text1"/>
          <w:sz w:val="28"/>
          <w:szCs w:val="28"/>
          <w:lang w:val="zh-CN"/>
          <w14:textFill>
            <w14:solidFill>
              <w14:schemeClr w14:val="tx1"/>
            </w14:solidFill>
          </w14:textFill>
        </w:rPr>
        <w:t>衢院招2024-25</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项目名称：</w:t>
      </w:r>
      <w:r>
        <w:rPr>
          <w:rFonts w:hint="eastAsia" w:ascii="宋体" w:hAnsi="宋体" w:cs="宋体"/>
          <w:b/>
          <w:color w:val="000000" w:themeColor="text1"/>
          <w:sz w:val="28"/>
          <w:szCs w:val="28"/>
          <w:lang w:val="zh-CN" w:eastAsia="zh-CN"/>
          <w14:textFill>
            <w14:solidFill>
              <w14:schemeClr w14:val="tx1"/>
            </w14:solidFill>
          </w14:textFill>
        </w:rPr>
        <w:t>校园新能源汽车充电服务</w:t>
      </w:r>
      <w:r>
        <w:rPr>
          <w:rFonts w:hint="eastAsia" w:ascii="宋体" w:hAnsi="宋体" w:eastAsia="宋体" w:cs="宋体"/>
          <w:b/>
          <w:color w:val="000000" w:themeColor="text1"/>
          <w:sz w:val="28"/>
          <w:szCs w:val="28"/>
          <w:lang w:eastAsia="zh-CN"/>
          <w14:textFill>
            <w14:solidFill>
              <w14:schemeClr w14:val="tx1"/>
            </w14:solidFill>
          </w14:textFill>
        </w:rPr>
        <w:t>项目</w:t>
      </w:r>
    </w:p>
    <w:tbl>
      <w:tblPr>
        <w:tblStyle w:val="17"/>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r>
    </w:tbl>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rPr>
          <w:rFonts w:hint="eastAsia" w:ascii="宋体" w:hAnsi="宋体" w:eastAsia="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投标人全权代表签字：</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投标人（公章）：</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日期</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日</w:t>
      </w: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九</w:t>
      </w:r>
      <w:r>
        <w:rPr>
          <w:rFonts w:hint="eastAsia" w:ascii="宋体" w:hAnsi="宋体" w:eastAsia="宋体" w:cs="宋体"/>
          <w:b/>
          <w:sz w:val="28"/>
          <w:szCs w:val="28"/>
        </w:rPr>
        <w:t>：</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2"/>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2"/>
        <w:spacing w:line="500" w:lineRule="exact"/>
        <w:jc w:val="center"/>
        <w:rPr>
          <w:rFonts w:hint="eastAsia" w:ascii="仿宋_GB2312" w:eastAsia="仿宋_GB2312"/>
          <w:sz w:val="28"/>
          <w:szCs w:val="28"/>
        </w:rPr>
      </w:pPr>
    </w:p>
    <w:p>
      <w:pPr>
        <w:pStyle w:val="22"/>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2"/>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spacing w:line="588" w:lineRule="exact"/>
        <w:jc w:val="left"/>
        <w:rPr>
          <w:rFonts w:hint="eastAsia" w:ascii="宋体" w:hAnsi="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r>
        <w:rPr>
          <w:rFonts w:hint="eastAsia" w:ascii="宋体" w:hAnsi="宋体" w:eastAsia="宋体" w:cs="宋体"/>
          <w:b/>
          <w:sz w:val="28"/>
          <w:szCs w:val="28"/>
          <w:lang w:val="en-GB"/>
        </w:rPr>
        <w:t>格式十：</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pacing w:val="6"/>
          <w:sz w:val="32"/>
          <w:szCs w:val="32"/>
        </w:rPr>
      </w:pPr>
      <w:r>
        <w:rPr>
          <w:rFonts w:hint="eastAsia" w:ascii="宋体" w:hAnsi="宋体" w:eastAsia="宋体" w:cs="宋体"/>
          <w:b/>
          <w:sz w:val="28"/>
          <w:szCs w:val="28"/>
          <w:lang w:val="en-GB"/>
        </w:rPr>
        <w:t>格式十</w:t>
      </w:r>
      <w:r>
        <w:rPr>
          <w:rFonts w:hint="eastAsia" w:ascii="宋体" w:hAnsi="宋体" w:cs="宋体"/>
          <w:b/>
          <w:sz w:val="28"/>
          <w:szCs w:val="28"/>
          <w:lang w:val="en-US" w:eastAsia="zh-CN"/>
        </w:rPr>
        <w:t>一</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单位名称（盖章）：</w:t>
      </w:r>
    </w:p>
    <w:p>
      <w:pPr>
        <w:pStyle w:val="22"/>
        <w:spacing w:line="540" w:lineRule="exact"/>
        <w:ind w:firstLine="0" w:firstLineChars="0"/>
        <w:jc w:val="center"/>
        <w:rPr>
          <w:rFonts w:hint="eastAsia" w:ascii="宋体" w:hAnsi="宋体" w:eastAsia="宋体" w:cs="宋体"/>
          <w:sz w:val="28"/>
        </w:rPr>
      </w:pPr>
      <w:r>
        <w:rPr>
          <w:rFonts w:hint="eastAsia" w:ascii="宋体" w:hAnsi="宋体" w:eastAsia="宋体" w:cs="宋体"/>
          <w:sz w:val="28"/>
        </w:rPr>
        <w:t xml:space="preserve">                                       日  期：</w:t>
      </w:r>
    </w:p>
    <w:p>
      <w:pPr>
        <w:pStyle w:val="20"/>
        <w:jc w:val="center"/>
        <w:rPr>
          <w:rFonts w:hint="eastAsia" w:ascii="宋体" w:hAnsi="宋体" w:eastAsia="宋体" w:cs="宋体"/>
          <w:sz w:val="28"/>
          <w:szCs w:val="28"/>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rPr>
          <w:rFonts w:hint="eastAsia" w:ascii="宋体" w:hAnsi="宋体" w:eastAsia="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w:t>
    </w:r>
    <w:r>
      <w:rPr>
        <w:rFonts w:hint="eastAsia" w:ascii="宋体" w:hAnsi="宋体" w:cs="仿宋_GB2312"/>
        <w:color w:val="000000"/>
        <w:lang w:eastAsia="zh-CN"/>
      </w:rPr>
      <w:t>2024-25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D4298"/>
    <w:multiLevelType w:val="singleLevel"/>
    <w:tmpl w:val="BBDD42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40A80D3D"/>
    <w:rsid w:val="000539F7"/>
    <w:rsid w:val="000B69BB"/>
    <w:rsid w:val="00102EB0"/>
    <w:rsid w:val="002C5AC1"/>
    <w:rsid w:val="006248FC"/>
    <w:rsid w:val="00711452"/>
    <w:rsid w:val="00A15748"/>
    <w:rsid w:val="00D15100"/>
    <w:rsid w:val="00E04DDF"/>
    <w:rsid w:val="01095516"/>
    <w:rsid w:val="013C3B06"/>
    <w:rsid w:val="030F2C50"/>
    <w:rsid w:val="04044BB6"/>
    <w:rsid w:val="044D15DB"/>
    <w:rsid w:val="04AB319E"/>
    <w:rsid w:val="0619781A"/>
    <w:rsid w:val="07EC0300"/>
    <w:rsid w:val="082A4D0C"/>
    <w:rsid w:val="08376891"/>
    <w:rsid w:val="0B541920"/>
    <w:rsid w:val="0B66208D"/>
    <w:rsid w:val="0F1E7FD4"/>
    <w:rsid w:val="10554453"/>
    <w:rsid w:val="1096175B"/>
    <w:rsid w:val="11A91F92"/>
    <w:rsid w:val="13577976"/>
    <w:rsid w:val="13686DB7"/>
    <w:rsid w:val="138F0D0D"/>
    <w:rsid w:val="1391302D"/>
    <w:rsid w:val="13BC3FA4"/>
    <w:rsid w:val="154713ED"/>
    <w:rsid w:val="17505821"/>
    <w:rsid w:val="17EA54F1"/>
    <w:rsid w:val="19076837"/>
    <w:rsid w:val="19F55BA5"/>
    <w:rsid w:val="1AB00F46"/>
    <w:rsid w:val="1AF404E0"/>
    <w:rsid w:val="1B29575B"/>
    <w:rsid w:val="1B582862"/>
    <w:rsid w:val="1BD66545"/>
    <w:rsid w:val="1BF46EDC"/>
    <w:rsid w:val="1CDB453D"/>
    <w:rsid w:val="1DB678FA"/>
    <w:rsid w:val="1FC6679B"/>
    <w:rsid w:val="204E2BAA"/>
    <w:rsid w:val="20674E6B"/>
    <w:rsid w:val="20D434D6"/>
    <w:rsid w:val="23284FAA"/>
    <w:rsid w:val="24822DD8"/>
    <w:rsid w:val="260E32E6"/>
    <w:rsid w:val="26695C79"/>
    <w:rsid w:val="268B6CFC"/>
    <w:rsid w:val="272F09A4"/>
    <w:rsid w:val="2A734F09"/>
    <w:rsid w:val="2B216312"/>
    <w:rsid w:val="2B5F12CA"/>
    <w:rsid w:val="2BDA4272"/>
    <w:rsid w:val="2BDB410A"/>
    <w:rsid w:val="2D0A3377"/>
    <w:rsid w:val="2F16668A"/>
    <w:rsid w:val="2F20651C"/>
    <w:rsid w:val="2FA955E8"/>
    <w:rsid w:val="314C5488"/>
    <w:rsid w:val="318C6B6F"/>
    <w:rsid w:val="31F648C1"/>
    <w:rsid w:val="32332176"/>
    <w:rsid w:val="33472053"/>
    <w:rsid w:val="33AE2FB6"/>
    <w:rsid w:val="358E2CCF"/>
    <w:rsid w:val="35D94E22"/>
    <w:rsid w:val="38AF7C6F"/>
    <w:rsid w:val="39D73EC4"/>
    <w:rsid w:val="3C6C15BE"/>
    <w:rsid w:val="3CB129AA"/>
    <w:rsid w:val="3CF91B79"/>
    <w:rsid w:val="3DA45A9F"/>
    <w:rsid w:val="3E92586A"/>
    <w:rsid w:val="3EFF649B"/>
    <w:rsid w:val="3FEB3929"/>
    <w:rsid w:val="3FFFB1C1"/>
    <w:rsid w:val="40A80D3D"/>
    <w:rsid w:val="40B30E64"/>
    <w:rsid w:val="40D34B93"/>
    <w:rsid w:val="419E58B8"/>
    <w:rsid w:val="432B3440"/>
    <w:rsid w:val="46362F63"/>
    <w:rsid w:val="464C3387"/>
    <w:rsid w:val="46E17D8B"/>
    <w:rsid w:val="47916CF6"/>
    <w:rsid w:val="48B92BF3"/>
    <w:rsid w:val="48EC2A92"/>
    <w:rsid w:val="49285658"/>
    <w:rsid w:val="492B6902"/>
    <w:rsid w:val="49F21F92"/>
    <w:rsid w:val="4FBE50A3"/>
    <w:rsid w:val="4FF51583"/>
    <w:rsid w:val="50995C59"/>
    <w:rsid w:val="51827A0B"/>
    <w:rsid w:val="51CB0B48"/>
    <w:rsid w:val="51ED833C"/>
    <w:rsid w:val="522F36E3"/>
    <w:rsid w:val="52C20474"/>
    <w:rsid w:val="52D43B68"/>
    <w:rsid w:val="53C87E28"/>
    <w:rsid w:val="546838A4"/>
    <w:rsid w:val="54FE4CF2"/>
    <w:rsid w:val="55CF392E"/>
    <w:rsid w:val="5668597D"/>
    <w:rsid w:val="56690C2D"/>
    <w:rsid w:val="56D33053"/>
    <w:rsid w:val="588E0A76"/>
    <w:rsid w:val="58BF2E0D"/>
    <w:rsid w:val="59336FC9"/>
    <w:rsid w:val="59DF255D"/>
    <w:rsid w:val="59E358AF"/>
    <w:rsid w:val="5AC22D78"/>
    <w:rsid w:val="5AD814FF"/>
    <w:rsid w:val="5B814BCF"/>
    <w:rsid w:val="5C690C8D"/>
    <w:rsid w:val="5D227391"/>
    <w:rsid w:val="5D597FAE"/>
    <w:rsid w:val="5E175D6F"/>
    <w:rsid w:val="5E827079"/>
    <w:rsid w:val="5E9505E4"/>
    <w:rsid w:val="5ED2438D"/>
    <w:rsid w:val="5F954543"/>
    <w:rsid w:val="5FE457B5"/>
    <w:rsid w:val="5FFD4F8F"/>
    <w:rsid w:val="5FFFC779"/>
    <w:rsid w:val="6125234D"/>
    <w:rsid w:val="61284D4D"/>
    <w:rsid w:val="62126170"/>
    <w:rsid w:val="63BD279A"/>
    <w:rsid w:val="6612616F"/>
    <w:rsid w:val="66367B00"/>
    <w:rsid w:val="68133457"/>
    <w:rsid w:val="685A4E9B"/>
    <w:rsid w:val="694464FF"/>
    <w:rsid w:val="6A81056F"/>
    <w:rsid w:val="6AFFF839"/>
    <w:rsid w:val="6B067A08"/>
    <w:rsid w:val="6D7ECDB2"/>
    <w:rsid w:val="6DFF0395"/>
    <w:rsid w:val="6E66114F"/>
    <w:rsid w:val="6E7439A0"/>
    <w:rsid w:val="6E813BDA"/>
    <w:rsid w:val="6FAE1E2B"/>
    <w:rsid w:val="71F16DC2"/>
    <w:rsid w:val="7375A02A"/>
    <w:rsid w:val="75036350"/>
    <w:rsid w:val="75396CA6"/>
    <w:rsid w:val="76C53727"/>
    <w:rsid w:val="77FF6785"/>
    <w:rsid w:val="7AA10300"/>
    <w:rsid w:val="7BBFD339"/>
    <w:rsid w:val="7BF3167C"/>
    <w:rsid w:val="7C4C7408"/>
    <w:rsid w:val="7C6B6D12"/>
    <w:rsid w:val="7DD6A6A4"/>
    <w:rsid w:val="7DE5BEA2"/>
    <w:rsid w:val="7EA10B40"/>
    <w:rsid w:val="7ECD2C52"/>
    <w:rsid w:val="7EF604F2"/>
    <w:rsid w:val="7EFE209D"/>
    <w:rsid w:val="7F7D0751"/>
    <w:rsid w:val="7F7F6525"/>
    <w:rsid w:val="7F925C88"/>
    <w:rsid w:val="7FF7F5CB"/>
    <w:rsid w:val="7FFFB68B"/>
    <w:rsid w:val="9AB72286"/>
    <w:rsid w:val="9AD3CBFE"/>
    <w:rsid w:val="9FFFE99E"/>
    <w:rsid w:val="B25E66F2"/>
    <w:rsid w:val="B9DDC818"/>
    <w:rsid w:val="BF5BE3D4"/>
    <w:rsid w:val="DDFDE91A"/>
    <w:rsid w:val="DFFFB1FD"/>
    <w:rsid w:val="EEF733DC"/>
    <w:rsid w:val="EFDFB9F2"/>
    <w:rsid w:val="F753DDD1"/>
    <w:rsid w:val="F7879D30"/>
    <w:rsid w:val="FD97EC60"/>
    <w:rsid w:val="FF6E54B3"/>
    <w:rsid w:val="FFB9AE86"/>
    <w:rsid w:val="FFDB5044"/>
    <w:rsid w:val="FFF7A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4">
    <w:name w:val="heading 1"/>
    <w:basedOn w:val="1"/>
    <w:next w:val="1"/>
    <w:link w:val="33"/>
    <w:qFormat/>
    <w:uiPriority w:val="0"/>
    <w:pPr>
      <w:keepNext/>
      <w:keepLines/>
      <w:spacing w:before="340" w:beforeLines="0" w:beforeAutospacing="0" w:after="330" w:afterLines="0" w:afterAutospacing="0" w:line="576" w:lineRule="auto"/>
      <w:outlineLvl w:val="0"/>
    </w:pPr>
    <w:rPr>
      <w:b/>
      <w:kern w:val="44"/>
      <w:sz w:val="32"/>
    </w:rPr>
  </w:style>
  <w:style w:type="paragraph" w:styleId="5">
    <w:name w:val="heading 3"/>
    <w:basedOn w:val="1"/>
    <w:next w:val="1"/>
    <w:qFormat/>
    <w:uiPriority w:val="0"/>
    <w:pPr>
      <w:keepNext/>
      <w:keepLines/>
      <w:spacing w:before="340" w:after="34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widowControl/>
      <w:overflowPunct w:val="0"/>
      <w:autoSpaceDE w:val="0"/>
      <w:autoSpaceDN w:val="0"/>
      <w:adjustRightInd w:val="0"/>
      <w:jc w:val="left"/>
    </w:pPr>
    <w:rPr>
      <w:rFonts w:ascii="宋体" w:hAnsi="Courier New"/>
      <w:kern w:val="0"/>
      <w:szCs w:val="21"/>
    </w:rPr>
  </w:style>
  <w:style w:type="paragraph" w:styleId="3">
    <w:name w:val="Date"/>
    <w:basedOn w:val="1"/>
    <w:next w:val="1"/>
    <w:qFormat/>
    <w:uiPriority w:val="0"/>
    <w:pPr>
      <w:ind w:left="100" w:leftChars="2500"/>
    </w:pPr>
  </w:style>
  <w:style w:type="paragraph" w:styleId="6">
    <w:name w:val="Normal Indent"/>
    <w:basedOn w:val="1"/>
    <w:qFormat/>
    <w:uiPriority w:val="0"/>
    <w:pPr>
      <w:ind w:firstLine="420"/>
    </w:pPr>
    <w:rPr>
      <w:sz w:val="21"/>
    </w:rPr>
  </w:style>
  <w:style w:type="paragraph" w:styleId="7">
    <w:name w:val="toa heading"/>
    <w:basedOn w:val="1"/>
    <w:next w:val="1"/>
    <w:qFormat/>
    <w:uiPriority w:val="0"/>
    <w:rPr>
      <w:rFonts w:ascii="Arial" w:hAnsi="Arial" w:eastAsia="宋体" w:cs="Times New Roman"/>
      <w:sz w:val="24"/>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after="120"/>
      <w:ind w:left="420" w:leftChars="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Body Text First Indent"/>
    <w:basedOn w:val="9"/>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6">
    <w:name w:val="Body Text First Indent 2"/>
    <w:basedOn w:val="10"/>
    <w:qFormat/>
    <w:uiPriority w:val="99"/>
    <w:pPr>
      <w:ind w:firstLine="420" w:firstLineChars="200"/>
    </w:pPr>
    <w:rPr>
      <w:rFonts w:ascii="Arial" w:hAnsi="Arial"/>
      <w:sz w:val="22"/>
      <w:lang w:eastAsia="en-US"/>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纯文本1"/>
    <w:basedOn w:val="1"/>
    <w:qFormat/>
    <w:uiPriority w:val="0"/>
    <w:rPr>
      <w:rFonts w:ascii="宋体" w:hAnsi="Courier New" w:cs="ˎ̥"/>
      <w:sz w:val="21"/>
      <w:szCs w:val="21"/>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4">
    <w:name w:val="List Paragraph1"/>
    <w:basedOn w:val="1"/>
    <w:qFormat/>
    <w:uiPriority w:val="99"/>
    <w:pPr>
      <w:ind w:firstLine="420" w:firstLineChars="200"/>
    </w:pPr>
    <w:rPr>
      <w:rFonts w:ascii="Calibri" w:hAnsi="Calibri"/>
      <w:szCs w:val="22"/>
    </w:rPr>
  </w:style>
  <w:style w:type="character" w:customStyle="1" w:styleId="25">
    <w:name w:val="NormalCharacter"/>
    <w:qFormat/>
    <w:uiPriority w:val="0"/>
  </w:style>
  <w:style w:type="character" w:customStyle="1" w:styleId="26">
    <w:name w:val="标题 1 Char"/>
    <w:link w:val="4"/>
    <w:qFormat/>
    <w:uiPriority w:val="0"/>
    <w:rPr>
      <w:rFonts w:eastAsia="宋体"/>
      <w:b/>
      <w:kern w:val="44"/>
      <w:sz w:val="32"/>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正文文本缩进 21"/>
    <w:basedOn w:val="1"/>
    <w:qFormat/>
    <w:uiPriority w:val="0"/>
    <w:pPr>
      <w:spacing w:line="360" w:lineRule="exact"/>
      <w:ind w:firstLine="469" w:firstLineChars="200"/>
    </w:pPr>
    <w:rPr>
      <w:rFonts w:ascii="宋体" w:hAnsi="宋体" w:cs="宋体"/>
      <w:kern w:val="0"/>
      <w:sz w:val="24"/>
    </w:rPr>
  </w:style>
  <w:style w:type="paragraph" w:styleId="29">
    <w:name w:val="List Paragraph"/>
    <w:basedOn w:val="1"/>
    <w:qFormat/>
    <w:uiPriority w:val="34"/>
    <w:pPr>
      <w:ind w:firstLine="420" w:firstLineChars="200"/>
    </w:pPr>
  </w:style>
  <w:style w:type="paragraph" w:customStyle="1" w:styleId="30">
    <w:name w:val="Default"/>
    <w:next w:val="3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Body Text First Indent 21"/>
    <w:basedOn w:val="1"/>
    <w:qFormat/>
    <w:uiPriority w:val="0"/>
    <w:pPr>
      <w:spacing w:after="120"/>
      <w:ind w:left="420" w:leftChars="200" w:firstLine="420"/>
    </w:pPr>
  </w:style>
  <w:style w:type="character" w:customStyle="1" w:styleId="33">
    <w:name w:val="标题 1 字符"/>
    <w:link w:val="4"/>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33</Pages>
  <Words>13518</Words>
  <Characters>14401</Characters>
  <Lines>108</Lines>
  <Paragraphs>30</Paragraphs>
  <TotalTime>227</TotalTime>
  <ScaleCrop>false</ScaleCrop>
  <LinksUpToDate>false</LinksUpToDate>
  <CharactersWithSpaces>15737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2021-04-05T00:41:00Z</dcterms:created>
  <dc:creator>周建红</dc:creator>
  <cp:lastModifiedBy>Administrator</cp:lastModifiedBy>
  <cp:lastPrinted>2024-08-13T23:18:00Z</cp:lastPrinted>
  <dcterms:modified xsi:type="dcterms:W3CDTF">2024-08-19T03:44:24Z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DF5AC0E9A2AEA3C1D0D1BE661476D4D9_43</vt:lpwstr>
  </property>
</Properties>
</file>